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67" w:rsidRDefault="00E24467"/>
    <w:p w:rsidR="000E1970" w:rsidRPr="000E1970" w:rsidRDefault="000E1970" w:rsidP="000E1970">
      <w:pPr>
        <w:spacing w:after="0" w:line="240" w:lineRule="auto"/>
        <w:rPr>
          <w:rFonts w:ascii="Verdana" w:hAnsi="Verdana"/>
          <w:b/>
          <w:sz w:val="32"/>
          <w:szCs w:val="32"/>
        </w:rPr>
      </w:pPr>
    </w:p>
    <w:p w:rsidR="000E1970" w:rsidRDefault="000E1970" w:rsidP="000E1970">
      <w:pPr>
        <w:spacing w:after="0" w:line="240" w:lineRule="auto"/>
        <w:rPr>
          <w:rFonts w:ascii="Verdana" w:hAnsi="Verdana"/>
          <w:b/>
          <w:sz w:val="32"/>
          <w:szCs w:val="32"/>
        </w:rPr>
      </w:pPr>
      <w:r w:rsidRPr="000E1970">
        <w:rPr>
          <w:rFonts w:ascii="Verdana" w:hAnsi="Verdana"/>
          <w:b/>
          <w:sz w:val="32"/>
          <w:szCs w:val="32"/>
        </w:rPr>
        <w:t>REPRESENTACIÓN DE LOS TRABAJADORES EN ESPAÑA Y LA UNIÓN EUROPEA</w:t>
      </w:r>
    </w:p>
    <w:p w:rsidR="000E1970" w:rsidRPr="000E1970" w:rsidRDefault="000E1970" w:rsidP="000E1970">
      <w:pPr>
        <w:spacing w:after="0" w:line="240" w:lineRule="auto"/>
        <w:rPr>
          <w:rFonts w:ascii="Verdana" w:hAnsi="Verdana"/>
          <w:b/>
          <w:sz w:val="32"/>
          <w:szCs w:val="32"/>
        </w:rPr>
      </w:pPr>
      <w:r>
        <w:rPr>
          <w:rFonts w:ascii="Verdana" w:hAnsi="Verdana"/>
          <w:b/>
          <w:sz w:val="32"/>
          <w:szCs w:val="32"/>
        </w:rPr>
        <w:t>_____________________________________</w:t>
      </w:r>
    </w:p>
    <w:p w:rsidR="000E1970" w:rsidRPr="000E1970" w:rsidRDefault="000E1970" w:rsidP="000E1970">
      <w:pPr>
        <w:spacing w:after="0" w:line="240" w:lineRule="auto"/>
        <w:rPr>
          <w:rFonts w:ascii="Verdana" w:hAnsi="Verdana"/>
          <w:b/>
          <w:sz w:val="32"/>
          <w:szCs w:val="32"/>
        </w:rPr>
      </w:pPr>
    </w:p>
    <w:p w:rsidR="000E1970" w:rsidRPr="000E1970" w:rsidRDefault="000E1970" w:rsidP="000E1970">
      <w:pPr>
        <w:spacing w:after="0" w:line="240" w:lineRule="auto"/>
        <w:jc w:val="right"/>
        <w:rPr>
          <w:rFonts w:ascii="Verdana" w:hAnsi="Verdana"/>
          <w:b/>
          <w:sz w:val="24"/>
          <w:szCs w:val="24"/>
        </w:rPr>
      </w:pPr>
      <w:r w:rsidRPr="000E1970">
        <w:rPr>
          <w:rFonts w:ascii="Verdana" w:hAnsi="Verdana"/>
          <w:b/>
          <w:sz w:val="24"/>
          <w:szCs w:val="24"/>
        </w:rPr>
        <w:t xml:space="preserve">Pere J. </w:t>
      </w:r>
      <w:proofErr w:type="spellStart"/>
      <w:r w:rsidRPr="000E1970">
        <w:rPr>
          <w:rFonts w:ascii="Verdana" w:hAnsi="Verdana"/>
          <w:b/>
          <w:sz w:val="24"/>
          <w:szCs w:val="24"/>
        </w:rPr>
        <w:t>Beneyto</w:t>
      </w:r>
      <w:proofErr w:type="spellEnd"/>
    </w:p>
    <w:p w:rsidR="000E1970" w:rsidRDefault="000E1970" w:rsidP="000E1970">
      <w:pPr>
        <w:spacing w:after="0" w:line="240" w:lineRule="auto"/>
        <w:jc w:val="right"/>
        <w:rPr>
          <w:rFonts w:ascii="Verdana" w:hAnsi="Verdana"/>
          <w:sz w:val="24"/>
          <w:szCs w:val="24"/>
        </w:rPr>
      </w:pPr>
      <w:r>
        <w:rPr>
          <w:rFonts w:ascii="Verdana" w:hAnsi="Verdana"/>
          <w:sz w:val="24"/>
          <w:szCs w:val="24"/>
        </w:rPr>
        <w:t>Universidad de Valencia</w:t>
      </w:r>
    </w:p>
    <w:p w:rsidR="000E1970" w:rsidRDefault="000E1970" w:rsidP="000E1970">
      <w:pPr>
        <w:spacing w:after="0" w:line="240" w:lineRule="auto"/>
        <w:jc w:val="right"/>
        <w:rPr>
          <w:rFonts w:ascii="Verdana" w:hAnsi="Verdana"/>
          <w:sz w:val="24"/>
          <w:szCs w:val="24"/>
        </w:rPr>
      </w:pPr>
      <w:r>
        <w:rPr>
          <w:rFonts w:ascii="Verdana" w:hAnsi="Verdana"/>
          <w:sz w:val="24"/>
          <w:szCs w:val="24"/>
        </w:rPr>
        <w:t>Fundación 1º de Mayo</w:t>
      </w:r>
    </w:p>
    <w:p w:rsidR="000E1970" w:rsidRDefault="000E1970" w:rsidP="000E1970">
      <w:pPr>
        <w:spacing w:after="0" w:line="240" w:lineRule="auto"/>
        <w:jc w:val="right"/>
        <w:rPr>
          <w:rFonts w:ascii="Verdana" w:hAnsi="Verdana"/>
          <w:sz w:val="24"/>
          <w:szCs w:val="24"/>
        </w:rPr>
      </w:pPr>
    </w:p>
    <w:p w:rsidR="00FE4D46" w:rsidRDefault="00FE4D46" w:rsidP="000E1970">
      <w:pPr>
        <w:spacing w:after="0" w:line="240" w:lineRule="auto"/>
        <w:jc w:val="right"/>
        <w:rPr>
          <w:rFonts w:ascii="Verdana" w:hAnsi="Verdana"/>
          <w:sz w:val="24"/>
          <w:szCs w:val="24"/>
        </w:rPr>
      </w:pPr>
    </w:p>
    <w:p w:rsidR="000E1970" w:rsidRDefault="000E1970" w:rsidP="000E1970">
      <w:pPr>
        <w:spacing w:after="0" w:line="240" w:lineRule="auto"/>
        <w:jc w:val="both"/>
        <w:rPr>
          <w:rFonts w:ascii="Verdana" w:hAnsi="Verdana"/>
        </w:rPr>
      </w:pPr>
    </w:p>
    <w:p w:rsidR="00FE4D46" w:rsidRDefault="00FE4D46" w:rsidP="000E1970">
      <w:pPr>
        <w:spacing w:after="0" w:line="240" w:lineRule="auto"/>
        <w:jc w:val="both"/>
        <w:rPr>
          <w:rFonts w:ascii="Verdana" w:hAnsi="Verdana"/>
        </w:rPr>
      </w:pPr>
      <w:r>
        <w:rPr>
          <w:rFonts w:ascii="Verdana" w:hAnsi="Verdana"/>
          <w:b/>
        </w:rPr>
        <w:t>I.- MARCO CONCEPTUAL: PODER, LEGITIMIDAD Y REPRESENTACIÓN SINDICAL</w:t>
      </w:r>
    </w:p>
    <w:p w:rsidR="00FE4D46" w:rsidRDefault="00FE4D46" w:rsidP="000E1970">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El poder sindical</w:t>
      </w:r>
      <w:r w:rsidRPr="00FE4D46">
        <w:rPr>
          <w:rStyle w:val="Refdenotaalpie"/>
          <w:rFonts w:ascii="Verdana" w:hAnsi="Verdana"/>
        </w:rPr>
        <w:footnoteReference w:id="1"/>
      </w:r>
      <w:r w:rsidRPr="00FE4D46">
        <w:rPr>
          <w:rFonts w:ascii="Verdana" w:hAnsi="Verdana"/>
        </w:rPr>
        <w:t xml:space="preserve">, según </w:t>
      </w:r>
      <w:proofErr w:type="spellStart"/>
      <w:r w:rsidRPr="00FE4D46">
        <w:rPr>
          <w:rFonts w:ascii="Verdana" w:hAnsi="Verdana"/>
        </w:rPr>
        <w:t>Lévesque</w:t>
      </w:r>
      <w:proofErr w:type="spellEnd"/>
      <w:r w:rsidRPr="00FE4D46">
        <w:rPr>
          <w:rFonts w:ascii="Verdana" w:hAnsi="Verdana"/>
        </w:rPr>
        <w:t xml:space="preserve"> y Murray (2010), se puede evaluar a partir de la capacidad de proteger y mejorar las condiciones de empleo (de sus miembros, o del conjunto de los asalariados) y de la capacidad de influencia sobre las políticas económicas y sociales. Pero ello supondría, evaluar a los sindicatos exclusivamente en función de sus resultados, mientras que dejaríamos de lado las fuentes de dicho poder, fundamentales para establecer la legitimidad de estas organizaciones.</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Desde nuestro punto de vista dichas fuentes hunden sus raíces en la capacidad de representación y movilización que alcanzan; medida a través de su nivel de afiliación, de apoyo electoral, de presencia en las mesas de la negociación colectiva, de recursos organizativos y de la movilización de sus afiliados y trabajadores más en general.</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Adquirir poder -capacidad de acción y de obtención de resultados- por medio de la representatividad otorgada por la ley, el voto o el reconocimiento institucional, nos sitúa en el terreno de la acción legítima y democrática y no en el del dominio o imposición unilateral, ni mucho menos en el monopolio como se insiste desde FEDEA y otros grupos de influencia empresarial, cuando además se trata de un sistema -el español, por ejemplo- con pluralidad de actores representativos. </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Hay un cierto grado de acuerdo, entre los especialistas en la selección de variables e indicadores que pueden permitir calibrar dicha representación (</w:t>
      </w:r>
      <w:proofErr w:type="spellStart"/>
      <w:r w:rsidRPr="00FE4D46">
        <w:rPr>
          <w:rFonts w:ascii="Verdana" w:hAnsi="Verdana"/>
        </w:rPr>
        <w:t>Beneyto</w:t>
      </w:r>
      <w:proofErr w:type="spellEnd"/>
      <w:r w:rsidRPr="00FE4D46">
        <w:rPr>
          <w:rFonts w:ascii="Verdana" w:hAnsi="Verdana"/>
        </w:rPr>
        <w:t xml:space="preserve">, 2008a y 2008b): a) de manera directa, se habla de la </w:t>
      </w:r>
      <w:r w:rsidRPr="00FE4D46">
        <w:rPr>
          <w:rFonts w:ascii="Verdana" w:hAnsi="Verdana"/>
          <w:i/>
        </w:rPr>
        <w:t>presencia</w:t>
      </w:r>
      <w:r w:rsidRPr="00FE4D46">
        <w:rPr>
          <w:rFonts w:ascii="Verdana" w:hAnsi="Verdana"/>
        </w:rPr>
        <w:t xml:space="preserve">, es decir del número de trabajadores afiliados a las organizaciones sindicales. b) Pero en los países europeos también es posible medir el </w:t>
      </w:r>
      <w:r w:rsidRPr="00FE4D46">
        <w:rPr>
          <w:rFonts w:ascii="Verdana" w:hAnsi="Verdana"/>
        </w:rPr>
        <w:lastRenderedPageBreak/>
        <w:t xml:space="preserve">alcance de la representación mediante el voto de los asalariados para elegir sus representantes, y entonces se habla de </w:t>
      </w:r>
      <w:r w:rsidRPr="00FE4D46">
        <w:rPr>
          <w:rFonts w:ascii="Verdana" w:hAnsi="Verdana"/>
          <w:i/>
        </w:rPr>
        <w:t>audiencia</w:t>
      </w:r>
      <w:r w:rsidRPr="00FE4D46">
        <w:rPr>
          <w:rFonts w:ascii="Verdana" w:hAnsi="Verdana"/>
        </w:rPr>
        <w:t xml:space="preserve"> electoral; conseguida no sólo por medio de los recursos humanos propios de los sindicatos –los afiliados- sino también mediante la participación en las elecciones legalmente establecidas, institucionalizadas, controladas y registradas. Como expone </w:t>
      </w:r>
      <w:proofErr w:type="spellStart"/>
      <w:r w:rsidRPr="00FE4D46">
        <w:rPr>
          <w:rFonts w:ascii="Verdana" w:hAnsi="Verdana"/>
        </w:rPr>
        <w:t>Baylos</w:t>
      </w:r>
      <w:proofErr w:type="spellEnd"/>
      <w:r w:rsidRPr="00FE4D46">
        <w:rPr>
          <w:rFonts w:ascii="Verdana" w:hAnsi="Verdana"/>
        </w:rPr>
        <w:t xml:space="preserve"> (2014), el procedimiento de audiencia afirma un principio democrático, objetivo, cuantificable y verificable, y de carácter dinámico, que permite medir periódicamente la implantación real de cada sindicato. Presencia y audiencia no tienen necesariamente que coincidir: la segunda en el caso español es por ejemplo considerablemente más elevada que la primera. c) El tercer elemento para medir la representación es la </w:t>
      </w:r>
      <w:r w:rsidRPr="00FE4D46">
        <w:rPr>
          <w:rFonts w:ascii="Verdana" w:hAnsi="Verdana"/>
          <w:i/>
        </w:rPr>
        <w:t>influencia</w:t>
      </w:r>
      <w:r w:rsidRPr="00FE4D46">
        <w:rPr>
          <w:rFonts w:ascii="Verdana" w:hAnsi="Verdana"/>
        </w:rPr>
        <w:t xml:space="preserve"> que, finalmente, mide el impacto real de la acción sindical por medio de la extensión de una de las funciones básicas de dicha acción como es la negociación colectiva y la cobertura de los asalariados por medio de convenios colectivos y otros acuerdos. Aquí, como veremos, hay diferencias notables entre los sistemas sindicales europeos; así el poder de un sindicato anglosajón se evalúa por medio de la afiliación (presencia), mientras que para un sindicato europeo continental es más apropiado centrarse en la influencia que, normalmente, depende también de variables de audiencia (elecciones)</w:t>
      </w:r>
      <w:r w:rsidRPr="00FE4D46">
        <w:rPr>
          <w:rFonts w:ascii="Verdana" w:hAnsi="Verdana"/>
          <w:b/>
        </w:rPr>
        <w:t xml:space="preserve">. </w:t>
      </w:r>
      <w:r w:rsidRPr="00FE4D46">
        <w:rPr>
          <w:rFonts w:ascii="Verdana" w:hAnsi="Verdana"/>
        </w:rPr>
        <w:t>La influencia sindical también se deriva de su capacidad de movilización (participación en conflictos laborales), que en los sistemas mediterráneos (y anglosajones) ha sido históricamente muy importante para dirimir la legitimidad de las demandas sindicales</w:t>
      </w:r>
      <w:r w:rsidRPr="00FE4D46">
        <w:rPr>
          <w:rStyle w:val="Refdenotaalpie"/>
          <w:rFonts w:ascii="Verdana" w:hAnsi="Verdana"/>
        </w:rPr>
        <w:footnoteReference w:id="2"/>
      </w:r>
      <w:r w:rsidRPr="00FE4D46">
        <w:rPr>
          <w:rFonts w:ascii="Verdana" w:hAnsi="Verdana"/>
        </w:rPr>
        <w:t>.</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En general, desde los años ochenta, hay un cierto consenso entre los especialistas en el diagnóstico en torno al debilitamiento</w:t>
      </w:r>
      <w:r w:rsidRPr="00FE4D46">
        <w:rPr>
          <w:rStyle w:val="Refdenotaalpie"/>
          <w:rFonts w:ascii="Verdana" w:hAnsi="Verdana"/>
        </w:rPr>
        <w:footnoteReference w:id="3"/>
      </w:r>
      <w:r w:rsidRPr="00FE4D46">
        <w:rPr>
          <w:rFonts w:ascii="Verdana" w:hAnsi="Verdana"/>
        </w:rPr>
        <w:t xml:space="preserve"> del poder de los sindicatos (de su capacidad de acción en definitiva). Pero la pérdida de voz puede ser debida a factores externos, legales e institucionales (contexto o estructura) o a factores internos. Sobre esta base podemos establecer que entre los factores de contexto juegan un papel importante la legislación y las políticas públicas, los ciclos económicos, la estructura empresarial y las prácticas de gestión de las empresas (Lorenz y </w:t>
      </w:r>
      <w:proofErr w:type="spellStart"/>
      <w:r w:rsidRPr="00FE4D46">
        <w:rPr>
          <w:rFonts w:ascii="Verdana" w:hAnsi="Verdana"/>
        </w:rPr>
        <w:t>Valeyre</w:t>
      </w:r>
      <w:proofErr w:type="spellEnd"/>
      <w:r w:rsidRPr="00FE4D46">
        <w:rPr>
          <w:rFonts w:ascii="Verdana" w:hAnsi="Verdana"/>
        </w:rPr>
        <w:t xml:space="preserve">, 2005; Prieto, 2009); así cabe considerar las transformaciones en los ámbitos de la empresa y del empleo, ya que suponen efectos ocupacionales –por ejemplo, la creciente segmentación y fragmentación de los mercados laborales, con la precarización, subcontratación e inestabilidad y generación de trayectorias laborales marcadas por la incertidumbre y tránsito entre empleos de breve duración y el paro; o las relaciones triangulares trabajador-empresario para quien se trabaja-empresa intermediaria contratante-; asimismo, juegan en contra las ofensivas de carácter ideológico y político destinadas a deslegitimar a los sindicatos, así como la pérdida de los instrumentos de protección y de regulación construidos a lo largo de los años; entre estas últimas debe mencionarse la resistencia de </w:t>
      </w:r>
      <w:r w:rsidRPr="00FE4D46">
        <w:rPr>
          <w:rFonts w:ascii="Verdana" w:hAnsi="Verdana"/>
        </w:rPr>
        <w:lastRenderedPageBreak/>
        <w:t>las empresas a la sindicalización, o hacia la representación de los trabajadores</w:t>
      </w:r>
      <w:r w:rsidRPr="00FE4D46">
        <w:rPr>
          <w:rStyle w:val="Refdenotaalpie"/>
          <w:rFonts w:ascii="Verdana" w:hAnsi="Verdana"/>
        </w:rPr>
        <w:footnoteReference w:id="4"/>
      </w:r>
      <w:r w:rsidRPr="00FE4D46">
        <w:rPr>
          <w:rFonts w:ascii="Verdana" w:hAnsi="Verdana"/>
        </w:rPr>
        <w:t xml:space="preserve">. </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Entre los factores internos conviene tener en cuenta la distancia entre la propensión de los asalariados y las oportunidades ofrecidas por las organizaciones. Ahí entran los incentivos que han atraído a los trabajadores hacia la movilización y la organización estable; de manera que el difícil equilibrio, mantenido por los sindicatos, entre identidad e </w:t>
      </w:r>
      <w:proofErr w:type="spellStart"/>
      <w:r w:rsidRPr="00FE4D46">
        <w:rPr>
          <w:rFonts w:ascii="Verdana" w:hAnsi="Verdana"/>
        </w:rPr>
        <w:t>instrumentalidad</w:t>
      </w:r>
      <w:proofErr w:type="spellEnd"/>
      <w:r w:rsidRPr="00FE4D46">
        <w:rPr>
          <w:rFonts w:ascii="Verdana" w:hAnsi="Verdana"/>
        </w:rPr>
        <w:t>, o entre solidaridad y egoísmo, puede haber cambiado, transformando con ello la percepción de los trabajadores hacia los sindicatos y, por tanto, su propensión a apoyarlos.</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El grado de soporte, o el grado de satisfacción o insatisfacción, de los asalariados hacia sus organizaciones representativas, puede transformarse asimismo mediante las propias acciones sindicales; por un lado, simplemente mediante la información, la comunicación, o la mera presencia en los centros de trabajo; por otro mediante, el desarrollo de formas de organización y acción que fomenten la participación y la identificación: es decir la democracia sindical</w:t>
      </w:r>
      <w:r w:rsidRPr="00FE4D46">
        <w:rPr>
          <w:rStyle w:val="Refdenotaalpie"/>
          <w:rFonts w:ascii="Verdana" w:hAnsi="Verdana"/>
        </w:rPr>
        <w:footnoteReference w:id="5"/>
      </w:r>
      <w:r w:rsidRPr="00FE4D46">
        <w:rPr>
          <w:rFonts w:ascii="Verdana" w:hAnsi="Verdana"/>
        </w:rPr>
        <w:t xml:space="preserve"> </w:t>
      </w:r>
      <w:r w:rsidRPr="00FE4D46">
        <w:rPr>
          <w:rFonts w:ascii="Verdana" w:hAnsi="Verdana"/>
          <w:lang w:val="ca-ES"/>
        </w:rPr>
        <w:t>(</w:t>
      </w:r>
      <w:proofErr w:type="spellStart"/>
      <w:r w:rsidRPr="00FE4D46">
        <w:rPr>
          <w:rFonts w:ascii="Verdana" w:hAnsi="Verdana"/>
          <w:lang w:val="ca-ES"/>
        </w:rPr>
        <w:t>Lévesque</w:t>
      </w:r>
      <w:proofErr w:type="spellEnd"/>
      <w:r w:rsidRPr="00FE4D46">
        <w:rPr>
          <w:rFonts w:ascii="Verdana" w:hAnsi="Verdana"/>
          <w:lang w:val="ca-ES"/>
        </w:rPr>
        <w:t xml:space="preserve"> et al., </w:t>
      </w:r>
      <w:r w:rsidRPr="00FE4D46">
        <w:rPr>
          <w:rFonts w:ascii="Verdana" w:hAnsi="Verdana"/>
        </w:rPr>
        <w:t>2005), frente a la burocratización (</w:t>
      </w:r>
      <w:proofErr w:type="spellStart"/>
      <w:r w:rsidRPr="00FE4D46">
        <w:rPr>
          <w:rFonts w:ascii="Verdana" w:hAnsi="Verdana"/>
        </w:rPr>
        <w:t>Michels</w:t>
      </w:r>
      <w:proofErr w:type="spellEnd"/>
      <w:r w:rsidRPr="00FE4D46">
        <w:rPr>
          <w:rFonts w:ascii="Verdana" w:hAnsi="Verdana"/>
        </w:rPr>
        <w:t>, 1979).</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En este sentido, convenimos con </w:t>
      </w:r>
      <w:proofErr w:type="spellStart"/>
      <w:r w:rsidRPr="00FE4D46">
        <w:rPr>
          <w:rFonts w:ascii="Verdana" w:hAnsi="Verdana"/>
        </w:rPr>
        <w:t>Hobsbawm</w:t>
      </w:r>
      <w:proofErr w:type="spellEnd"/>
      <w:r w:rsidRPr="00FE4D46">
        <w:rPr>
          <w:rFonts w:ascii="Verdana" w:hAnsi="Verdana"/>
        </w:rPr>
        <w:t xml:space="preserve"> (1979) o </w:t>
      </w:r>
      <w:proofErr w:type="spellStart"/>
      <w:r w:rsidRPr="00FE4D46">
        <w:rPr>
          <w:rFonts w:ascii="Verdana" w:hAnsi="Verdana"/>
        </w:rPr>
        <w:t>Hyman</w:t>
      </w:r>
      <w:proofErr w:type="spellEnd"/>
      <w:r w:rsidRPr="00FE4D46">
        <w:rPr>
          <w:rFonts w:ascii="Verdana" w:hAnsi="Verdana"/>
        </w:rPr>
        <w:t xml:space="preserve"> (1981) que la propensión de los trabajadores forma parte de un mismo continuo de la representación colectiva</w:t>
      </w:r>
      <w:r w:rsidRPr="00FE4D46">
        <w:rPr>
          <w:rStyle w:val="Refdenotaalpie"/>
          <w:rFonts w:ascii="Verdana" w:hAnsi="Verdana"/>
        </w:rPr>
        <w:footnoteReference w:id="6"/>
      </w:r>
      <w:r w:rsidRPr="00FE4D46">
        <w:rPr>
          <w:rFonts w:ascii="Verdana" w:hAnsi="Verdana"/>
        </w:rPr>
        <w:t xml:space="preserve">; de manera que los cambios en la composición de la clase trabajadora afectan al sindicato. Por ello ante la debilidad señalada es imprescindible la acción renovadora. Y, en este continuo, como sostienen </w:t>
      </w:r>
      <w:proofErr w:type="spellStart"/>
      <w:r w:rsidRPr="00FE4D46">
        <w:rPr>
          <w:rFonts w:ascii="Verdana" w:hAnsi="Verdana"/>
        </w:rPr>
        <w:t>Hege</w:t>
      </w:r>
      <w:proofErr w:type="spellEnd"/>
      <w:r w:rsidRPr="00FE4D46">
        <w:rPr>
          <w:rFonts w:ascii="Verdana" w:hAnsi="Verdana"/>
        </w:rPr>
        <w:t xml:space="preserve"> et al. (2011)</w:t>
      </w:r>
      <w:r w:rsidRPr="00FE4D46">
        <w:rPr>
          <w:rStyle w:val="Refdenotaalpie"/>
          <w:rFonts w:ascii="Verdana" w:hAnsi="Verdana"/>
        </w:rPr>
        <w:footnoteReference w:id="7"/>
      </w:r>
      <w:r w:rsidRPr="00FE4D46">
        <w:rPr>
          <w:rFonts w:ascii="Verdana" w:hAnsi="Verdana"/>
        </w:rPr>
        <w:t xml:space="preserve"> los delegados y delegadas en la empresa ocupan una interesante posición intermedia entre la organización sindical y los trabajadores, constituyendo un tejido de base necesario para legitimar la acción del sindicato (</w:t>
      </w:r>
      <w:proofErr w:type="spellStart"/>
      <w:r w:rsidRPr="00FE4D46">
        <w:rPr>
          <w:rFonts w:ascii="Verdana" w:hAnsi="Verdana"/>
        </w:rPr>
        <w:t>Peetz</w:t>
      </w:r>
      <w:proofErr w:type="spellEnd"/>
      <w:r w:rsidRPr="00FE4D46">
        <w:rPr>
          <w:rFonts w:ascii="Verdana" w:hAnsi="Verdana"/>
        </w:rPr>
        <w:t xml:space="preserve"> y </w:t>
      </w:r>
      <w:proofErr w:type="spellStart"/>
      <w:r w:rsidRPr="00FE4D46">
        <w:rPr>
          <w:rFonts w:ascii="Verdana" w:hAnsi="Verdana"/>
        </w:rPr>
        <w:t>Pocock</w:t>
      </w:r>
      <w:proofErr w:type="spellEnd"/>
      <w:r w:rsidRPr="00FE4D46">
        <w:rPr>
          <w:rFonts w:ascii="Verdana" w:hAnsi="Verdana"/>
        </w:rPr>
        <w:t xml:space="preserve">, 2009). Incluso en algunos de los sistemas sindicales, dichos delegados/as no necesariamente han de ser miembros de un sindicato concreto (aunque se presenten en sus listas, como en el caso español), pudiendo formar candidaturas ajenas a una organización. Aunque quizás esta posición intermedia se comprenda mejor </w:t>
      </w:r>
      <w:r w:rsidRPr="00FE4D46">
        <w:rPr>
          <w:rFonts w:ascii="Verdana" w:hAnsi="Verdana"/>
        </w:rPr>
        <w:lastRenderedPageBreak/>
        <w:t>mediante las funciones prácticas</w:t>
      </w:r>
      <w:r w:rsidRPr="00FE4D46">
        <w:rPr>
          <w:rStyle w:val="Refdenotaalpie"/>
          <w:rFonts w:ascii="Verdana" w:hAnsi="Verdana"/>
        </w:rPr>
        <w:footnoteReference w:id="8"/>
      </w:r>
      <w:r w:rsidRPr="00FE4D46">
        <w:rPr>
          <w:rFonts w:ascii="Verdana" w:hAnsi="Verdana"/>
        </w:rPr>
        <w:t xml:space="preserve"> que Le </w:t>
      </w:r>
      <w:proofErr w:type="spellStart"/>
      <w:r w:rsidRPr="00FE4D46">
        <w:rPr>
          <w:rFonts w:ascii="Verdana" w:hAnsi="Verdana"/>
        </w:rPr>
        <w:t>Capitaine</w:t>
      </w:r>
      <w:proofErr w:type="spellEnd"/>
      <w:r w:rsidRPr="00FE4D46">
        <w:rPr>
          <w:rFonts w:ascii="Verdana" w:hAnsi="Verdana"/>
        </w:rPr>
        <w:t xml:space="preserve"> et al. (2011) atribuyen a los delegados de los enseñantes de Quebec; por un lado, una función más tradicional de protección o de refugio cuyo cometido es la participación de los trabajadores en manifestaciones y campañas sindicales; y, por otra, una función de representación ante la empresa y en la mesa de negociación.</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Hasta aquí los autores reseñados nos ofrecen un panorama eminentemente descriptivo y práctico sugerido por el análisis de casos, empresas o sectores. </w:t>
      </w:r>
      <w:proofErr w:type="spellStart"/>
      <w:r w:rsidRPr="00FE4D46">
        <w:rPr>
          <w:rFonts w:ascii="Verdana" w:hAnsi="Verdana"/>
        </w:rPr>
        <w:t>Regalia</w:t>
      </w:r>
      <w:proofErr w:type="spellEnd"/>
      <w:r w:rsidRPr="00FE4D46">
        <w:rPr>
          <w:rFonts w:ascii="Verdana" w:hAnsi="Verdana"/>
        </w:rPr>
        <w:t xml:space="preserve"> (2006), citada por </w:t>
      </w:r>
      <w:proofErr w:type="spellStart"/>
      <w:r w:rsidRPr="00FE4D46">
        <w:rPr>
          <w:rFonts w:ascii="Verdana" w:hAnsi="Verdana"/>
        </w:rPr>
        <w:t>Webster</w:t>
      </w:r>
      <w:proofErr w:type="spellEnd"/>
      <w:r w:rsidRPr="00FE4D46">
        <w:rPr>
          <w:rFonts w:ascii="Verdana" w:hAnsi="Verdana"/>
        </w:rPr>
        <w:t xml:space="preserve"> y </w:t>
      </w:r>
      <w:proofErr w:type="spellStart"/>
      <w:r w:rsidRPr="00FE4D46">
        <w:rPr>
          <w:rFonts w:ascii="Verdana" w:hAnsi="Verdana"/>
        </w:rPr>
        <w:t>Bischoff</w:t>
      </w:r>
      <w:proofErr w:type="spellEnd"/>
      <w:r w:rsidRPr="00FE4D46">
        <w:rPr>
          <w:rFonts w:ascii="Verdana" w:hAnsi="Verdana"/>
        </w:rPr>
        <w:t xml:space="preserve"> (2011), lleva a cabo una reflexión más teórica que, aunque se basa en los retos de representación de los trabajadores precarios o bajo contrato atípico (temporal, tiempo parcial, autónomo dependiente,...), puede ser válida -con alguna adaptación- a todo tipo de trabajadores y sistemas sindicales. La autora parece partir del conocido dilema de </w:t>
      </w:r>
      <w:proofErr w:type="spellStart"/>
      <w:r w:rsidRPr="00FE4D46">
        <w:rPr>
          <w:rFonts w:ascii="Verdana" w:hAnsi="Verdana"/>
        </w:rPr>
        <w:t>Bain</w:t>
      </w:r>
      <w:proofErr w:type="spellEnd"/>
      <w:r w:rsidRPr="00FE4D46">
        <w:rPr>
          <w:rFonts w:ascii="Verdana" w:hAnsi="Verdana"/>
        </w:rPr>
        <w:t xml:space="preserve"> y </w:t>
      </w:r>
      <w:proofErr w:type="spellStart"/>
      <w:r w:rsidRPr="00FE4D46">
        <w:rPr>
          <w:rFonts w:ascii="Verdana" w:hAnsi="Verdana"/>
        </w:rPr>
        <w:t>Elsheikh</w:t>
      </w:r>
      <w:proofErr w:type="spellEnd"/>
      <w:r w:rsidRPr="00FE4D46">
        <w:rPr>
          <w:rFonts w:ascii="Verdana" w:hAnsi="Verdana"/>
        </w:rPr>
        <w:t xml:space="preserve"> (1976) sobre la relación entre asalariados y organizaciones sindicales basado en la percepción o propensión de los trabajadores (intereses) hacia el sindicato y en las oportunidades que éste les ofrece para hacerlos efectivos; un esquema que permitiría ir a la raíz de la conocida distinción de </w:t>
      </w:r>
      <w:proofErr w:type="spellStart"/>
      <w:r w:rsidRPr="00FE4D46">
        <w:rPr>
          <w:rFonts w:ascii="Verdana" w:hAnsi="Verdana"/>
        </w:rPr>
        <w:t>Lange</w:t>
      </w:r>
      <w:proofErr w:type="spellEnd"/>
      <w:r w:rsidRPr="00FE4D46">
        <w:rPr>
          <w:rFonts w:ascii="Verdana" w:hAnsi="Verdana"/>
        </w:rPr>
        <w:t xml:space="preserve"> et al. (1982) sobre los incentivos que estimulan la propensión (instrumentales, </w:t>
      </w:r>
      <w:proofErr w:type="spellStart"/>
      <w:r w:rsidRPr="00FE4D46">
        <w:rPr>
          <w:rFonts w:ascii="Verdana" w:hAnsi="Verdana"/>
        </w:rPr>
        <w:t>identitarios</w:t>
      </w:r>
      <w:proofErr w:type="spellEnd"/>
      <w:r w:rsidRPr="00FE4D46">
        <w:rPr>
          <w:rFonts w:ascii="Verdana" w:hAnsi="Verdana"/>
        </w:rPr>
        <w:t xml:space="preserve">, de protección y de socialización). De este modo, </w:t>
      </w:r>
      <w:proofErr w:type="spellStart"/>
      <w:r w:rsidRPr="00FE4D46">
        <w:rPr>
          <w:rFonts w:ascii="Verdana" w:hAnsi="Verdana"/>
        </w:rPr>
        <w:t>Regalia</w:t>
      </w:r>
      <w:proofErr w:type="spellEnd"/>
      <w:r w:rsidRPr="00FE4D46">
        <w:rPr>
          <w:rFonts w:ascii="Verdana" w:hAnsi="Verdana"/>
        </w:rPr>
        <w:t xml:space="preserve"> (2006) presenta una tabla de doble entrada para relacionar la conciencia sindical (alta y baja) o propensión de los trabajadores atípicos o precarios, con la disposición -</w:t>
      </w:r>
      <w:proofErr w:type="spellStart"/>
      <w:r w:rsidRPr="00FE4D46">
        <w:rPr>
          <w:rFonts w:ascii="Verdana" w:hAnsi="Verdana"/>
        </w:rPr>
        <w:t>o</w:t>
      </w:r>
      <w:proofErr w:type="spellEnd"/>
      <w:r w:rsidRPr="00FE4D46">
        <w:rPr>
          <w:rFonts w:ascii="Verdana" w:hAnsi="Verdana"/>
        </w:rPr>
        <w:t xml:space="preserve"> oportunidades- (alta y baja) de las organizaciones a representar a los trabajadores atípicos o precarios; los tipos resultantes de los cruces entre estas variables irían desde la indiferencia (baja propensión, baja oportunidad), a la innovación de la representación para hacer más efectiva la protección (alta propensión y alta oportunidad), pasando por la resistencia-reducción de las diferencias (alta propensión, baja oportunidad) y por iniciativas de extensión de la protección (baja propensión, alta oportunidad). La apuesta sindical por una u otra de estas opciones determinaría la voluntad y la capacidad de la organización de representar la creciente segmentación de los mercados laborales</w:t>
      </w:r>
      <w:r w:rsidRPr="00FE4D46">
        <w:rPr>
          <w:rStyle w:val="Refdenotaalpie"/>
          <w:rFonts w:ascii="Verdana" w:hAnsi="Verdana"/>
        </w:rPr>
        <w:footnoteReference w:id="9"/>
      </w:r>
      <w:r w:rsidRPr="00FE4D46">
        <w:rPr>
          <w:rFonts w:ascii="Verdana" w:hAnsi="Verdana"/>
        </w:rPr>
        <w:t>.</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Desplegados los elementos conceptuales en los que nos vamos a mover, es decir, la legitimidad de la representación sindical y los factores internos y externos que la condicionan, hemos de acometer los retos que suponen la situación actual. La vieja industria, con sus empleos fijos y a tiempo completo, cae por un excesivo énfasis en la desindustrialización, pero hay empleados en los servicios que el sindicato afilia y trata de representar; así, siguiendo la distinción de </w:t>
      </w:r>
      <w:proofErr w:type="spellStart"/>
      <w:r w:rsidRPr="00FE4D46">
        <w:rPr>
          <w:rFonts w:ascii="Verdana" w:hAnsi="Verdana"/>
        </w:rPr>
        <w:t>Regalia</w:t>
      </w:r>
      <w:proofErr w:type="spellEnd"/>
      <w:r w:rsidRPr="00FE4D46">
        <w:rPr>
          <w:rFonts w:ascii="Verdana" w:hAnsi="Verdana"/>
        </w:rPr>
        <w:t xml:space="preserve"> (2006), el peso de la afiliación y de la representación recae en los estables y en los cualificados, porque los parados y precarios -muy abundantes en determinados servicios- tienen más dificultades de permanecer en la empresa (y en el sindicato), o de ser integrados en uno u otro tipo de estructuras de representación (Fine, 2005; </w:t>
      </w:r>
      <w:proofErr w:type="spellStart"/>
      <w:r w:rsidRPr="00FE4D46">
        <w:rPr>
          <w:rFonts w:ascii="Verdana" w:hAnsi="Verdana"/>
        </w:rPr>
        <w:lastRenderedPageBreak/>
        <w:t>Artus</w:t>
      </w:r>
      <w:proofErr w:type="spellEnd"/>
      <w:r w:rsidRPr="00FE4D46">
        <w:rPr>
          <w:rFonts w:ascii="Verdana" w:hAnsi="Verdana"/>
        </w:rPr>
        <w:t xml:space="preserve">, 2013). Del mismo modo, </w:t>
      </w:r>
      <w:proofErr w:type="spellStart"/>
      <w:r w:rsidRPr="00FE4D46">
        <w:rPr>
          <w:rFonts w:ascii="Verdana" w:hAnsi="Verdana"/>
        </w:rPr>
        <w:t>Dufour</w:t>
      </w:r>
      <w:proofErr w:type="spellEnd"/>
      <w:r w:rsidRPr="00FE4D46">
        <w:rPr>
          <w:rFonts w:ascii="Verdana" w:hAnsi="Verdana"/>
        </w:rPr>
        <w:t xml:space="preserve"> et al. (2010) aportan el  ejemplo de cómo las mujeres van rellenando poco a poco el hueco dejado por los hombres de la industria, mientras su acceso a la dirección efectiva de la organización es dificultosa (</w:t>
      </w:r>
      <w:proofErr w:type="spellStart"/>
      <w:r w:rsidRPr="00FE4D46">
        <w:rPr>
          <w:rFonts w:ascii="Verdana" w:hAnsi="Verdana" w:cs="Calibri"/>
        </w:rPr>
        <w:t>Blaschke</w:t>
      </w:r>
      <w:proofErr w:type="spellEnd"/>
      <w:r w:rsidRPr="00FE4D46">
        <w:rPr>
          <w:rFonts w:ascii="Verdana" w:hAnsi="Verdana"/>
        </w:rPr>
        <w:t xml:space="preserve">, 2011; Le </w:t>
      </w:r>
      <w:proofErr w:type="spellStart"/>
      <w:r w:rsidRPr="00FE4D46">
        <w:rPr>
          <w:rFonts w:ascii="Verdana" w:hAnsi="Verdana"/>
        </w:rPr>
        <w:t>Capitaine</w:t>
      </w:r>
      <w:proofErr w:type="spellEnd"/>
      <w:r w:rsidRPr="00FE4D46">
        <w:rPr>
          <w:rFonts w:ascii="Verdana" w:hAnsi="Verdana"/>
        </w:rPr>
        <w:t xml:space="preserve"> et al., 2013). Algo similar encontramos nosotros (</w:t>
      </w:r>
      <w:proofErr w:type="spellStart"/>
      <w:r w:rsidRPr="00FE4D46">
        <w:rPr>
          <w:rFonts w:ascii="Verdana" w:hAnsi="Verdana"/>
        </w:rPr>
        <w:t>Jódar</w:t>
      </w:r>
      <w:proofErr w:type="spellEnd"/>
      <w:r w:rsidRPr="00FE4D46">
        <w:rPr>
          <w:rFonts w:ascii="Verdana" w:hAnsi="Verdana"/>
        </w:rPr>
        <w:t xml:space="preserve"> et al., 2011) en un estudio sobre los/as inmigrantes afiliados/as en Cataluña: hasta el año 2010 creció exponencialmente dicho segmento de afiliación, pero su acceso a los órganos de dirección era muy limitado. Junto a los precarios, los jóvenes, o los poco cualificados, todos ellos tienen dificultades elevadas bien de acceso al empleo, bien de estabilización del mismo y de acceso a la protección o ventajas asociadas, bien de conseguir unas condiciones de vida dignas (lo que incluye la subsistencia y el consumo). La distancia entre unos y otros (cualificados y no cualificados; estables y no estables)</w:t>
      </w:r>
      <w:r w:rsidRPr="00FE4D46">
        <w:rPr>
          <w:rStyle w:val="Refdenotaalpie"/>
          <w:rFonts w:ascii="Verdana" w:hAnsi="Verdana"/>
        </w:rPr>
        <w:footnoteReference w:id="10"/>
      </w:r>
      <w:r w:rsidRPr="00FE4D46">
        <w:rPr>
          <w:rFonts w:ascii="Verdana" w:hAnsi="Verdana"/>
        </w:rPr>
        <w:t xml:space="preserve"> comienza a ser importante. Y ello es crucial porque la ofensiva neoliberal pone el acento en dicha distancia para dividir (entre unos supuestos </w:t>
      </w:r>
      <w:proofErr w:type="spellStart"/>
      <w:r w:rsidRPr="00FE4D46">
        <w:rPr>
          <w:rFonts w:ascii="Verdana" w:hAnsi="Verdana"/>
          <w:i/>
        </w:rPr>
        <w:t>insiders</w:t>
      </w:r>
      <w:proofErr w:type="spellEnd"/>
      <w:r w:rsidRPr="00FE4D46">
        <w:rPr>
          <w:rFonts w:ascii="Verdana" w:hAnsi="Verdana"/>
        </w:rPr>
        <w:t xml:space="preserve"> privilegiados y unos </w:t>
      </w:r>
      <w:r w:rsidRPr="00FE4D46">
        <w:rPr>
          <w:rFonts w:ascii="Verdana" w:hAnsi="Verdana"/>
          <w:i/>
        </w:rPr>
        <w:t>outsiders</w:t>
      </w:r>
      <w:r w:rsidRPr="00FE4D46">
        <w:rPr>
          <w:rFonts w:ascii="Verdana" w:hAnsi="Verdana"/>
        </w:rPr>
        <w:t xml:space="preserve"> víctimas de los anteriores), al tiempo que en un ejercicio de cinismo pretende igualar implacablemente a la baja todos los colectivos, bajo la mirada sonriente de los verdaderos beneficiados por la creciente desigualdad. Pero también es necesario hablar, como sugieren </w:t>
      </w:r>
      <w:proofErr w:type="spellStart"/>
      <w:r w:rsidRPr="00FE4D46">
        <w:rPr>
          <w:rFonts w:ascii="Verdana" w:hAnsi="Verdana" w:cs="Calibri"/>
        </w:rPr>
        <w:t>Webster</w:t>
      </w:r>
      <w:proofErr w:type="spellEnd"/>
      <w:r w:rsidRPr="00FE4D46">
        <w:rPr>
          <w:rFonts w:ascii="Verdana" w:hAnsi="Verdana" w:cs="Calibri"/>
        </w:rPr>
        <w:t xml:space="preserve"> y </w:t>
      </w:r>
      <w:proofErr w:type="spellStart"/>
      <w:r w:rsidRPr="00FE4D46">
        <w:rPr>
          <w:rFonts w:ascii="Verdana" w:hAnsi="Verdana" w:cs="Calibri"/>
        </w:rPr>
        <w:t>Bischoff</w:t>
      </w:r>
      <w:proofErr w:type="spellEnd"/>
      <w:r w:rsidRPr="00FE4D46">
        <w:rPr>
          <w:rFonts w:ascii="Verdana" w:hAnsi="Verdana"/>
        </w:rPr>
        <w:t xml:space="preserve"> (2011), de nuevos actores que ocupan espacios tradicionalmente propios de los sindicatos, debido a las brechas abiertas en la representación entre pequeñas y grandes empresas, entre ocupados estables, precarios y desempleados, entre centro y periferia y no sólo en los países desarrollados, sino entre países del norte y del sur y entre regiones de los mismos.</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En un contexto de crisis y declive </w:t>
      </w:r>
      <w:proofErr w:type="spellStart"/>
      <w:r w:rsidRPr="00FE4D46">
        <w:rPr>
          <w:rFonts w:ascii="Verdana" w:hAnsi="Verdana"/>
        </w:rPr>
        <w:t>Heery</w:t>
      </w:r>
      <w:proofErr w:type="spellEnd"/>
      <w:r w:rsidRPr="00FE4D46">
        <w:rPr>
          <w:rFonts w:ascii="Verdana" w:hAnsi="Verdana"/>
        </w:rPr>
        <w:t xml:space="preserve"> (2010)</w:t>
      </w:r>
      <w:r w:rsidRPr="00FE4D46">
        <w:rPr>
          <w:rStyle w:val="Refdenotaalpie"/>
          <w:rFonts w:ascii="Verdana" w:hAnsi="Verdana"/>
        </w:rPr>
        <w:footnoteReference w:id="11"/>
      </w:r>
      <w:r w:rsidRPr="00FE4D46">
        <w:rPr>
          <w:rFonts w:ascii="Verdana" w:hAnsi="Verdana"/>
        </w:rPr>
        <w:t xml:space="preserve"> señala la existencia de un sistema multiforme de voz formado no sólo por los sindicatos, sino también por los sistemas estatutarios de participación en las empresas (elecciones sindicales en España), por los sistemas patrocinados por las empresas de implicación y participación individual o en equipo</w:t>
      </w:r>
      <w:r w:rsidRPr="00FE4D46">
        <w:rPr>
          <w:rStyle w:val="Refdenotaalpie"/>
          <w:rFonts w:ascii="Verdana" w:hAnsi="Verdana"/>
        </w:rPr>
        <w:footnoteReference w:id="12"/>
      </w:r>
      <w:r w:rsidRPr="00FE4D46">
        <w:rPr>
          <w:rFonts w:ascii="Verdana" w:hAnsi="Verdana"/>
        </w:rPr>
        <w:t xml:space="preserve"> (en muchas ocasiones como alternativa a los sindicatos o, incluso, abiertamente antisindicales)</w:t>
      </w:r>
      <w:r w:rsidRPr="00FE4D46">
        <w:rPr>
          <w:rStyle w:val="Refdenotaalpie"/>
          <w:rFonts w:ascii="Verdana" w:hAnsi="Verdana"/>
        </w:rPr>
        <w:footnoteReference w:id="13"/>
      </w:r>
      <w:r w:rsidRPr="00FE4D46">
        <w:rPr>
          <w:rFonts w:ascii="Verdana" w:hAnsi="Verdana"/>
        </w:rPr>
        <w:t>, así como por las denominadas organizaciones de la sociedad civil (colegios profesionales, asociaciones de consumidores, ONG, organizaciones vecinales, de comunidad, de ayuda mutua, 15-M,...)</w:t>
      </w:r>
      <w:r w:rsidRPr="00FE4D46">
        <w:rPr>
          <w:rStyle w:val="Refdenotaalpie"/>
          <w:rFonts w:ascii="Verdana" w:hAnsi="Verdana"/>
        </w:rPr>
        <w:footnoteReference w:id="14"/>
      </w:r>
      <w:r w:rsidRPr="00FE4D46">
        <w:rPr>
          <w:rFonts w:ascii="Verdana" w:hAnsi="Verdana"/>
        </w:rPr>
        <w:t xml:space="preserve">. </w:t>
      </w:r>
    </w:p>
    <w:p w:rsidR="00FE4D46" w:rsidRPr="00FE4D46" w:rsidRDefault="00FE4D46" w:rsidP="00FE4D46">
      <w:pPr>
        <w:spacing w:after="0" w:line="240" w:lineRule="auto"/>
        <w:jc w:val="both"/>
        <w:rPr>
          <w:rFonts w:ascii="Verdana" w:hAnsi="Verdana"/>
        </w:rPr>
      </w:pPr>
      <w:r w:rsidRPr="00FE4D46">
        <w:rPr>
          <w:rFonts w:ascii="Verdana" w:hAnsi="Verdana"/>
        </w:rPr>
        <w:lastRenderedPageBreak/>
        <w:t xml:space="preserve">En este estudio vamos a centrar la atención en un sistema estatutario, como son las elecciones sindicales en España, pero dentro de un marco de estudio algo más ambicioso en torno a la voz y la legitimidad de las organizaciones sindicales. El análisis de la evolución de las elecciones sindicales en España ha de ser un análisis de entrada contextual, porque su convocatoria y desarrollo están asociados a la morfología de empresas y sectores, incluso de territorios, a su vez altamente sensibles a las derivaciones del ciclo económico y su impacto sobre el mercado de trabajo. Precisamente </w:t>
      </w:r>
      <w:proofErr w:type="spellStart"/>
      <w:r w:rsidRPr="00FE4D46">
        <w:rPr>
          <w:rFonts w:ascii="Verdana" w:hAnsi="Verdana"/>
        </w:rPr>
        <w:t>Dufour</w:t>
      </w:r>
      <w:proofErr w:type="spellEnd"/>
      <w:r w:rsidRPr="00FE4D46">
        <w:rPr>
          <w:rFonts w:ascii="Verdana" w:hAnsi="Verdana"/>
        </w:rPr>
        <w:t xml:space="preserve"> y </w:t>
      </w:r>
      <w:proofErr w:type="spellStart"/>
      <w:r w:rsidRPr="00FE4D46">
        <w:rPr>
          <w:rFonts w:ascii="Verdana" w:hAnsi="Verdana"/>
        </w:rPr>
        <w:t>Hege</w:t>
      </w:r>
      <w:proofErr w:type="spellEnd"/>
      <w:r w:rsidRPr="00FE4D46">
        <w:rPr>
          <w:rFonts w:ascii="Verdana" w:hAnsi="Verdana"/>
        </w:rPr>
        <w:t xml:space="preserve"> (2011) delimitan el concepto de legitimidad de la representación desde el punto de vista externo, es decir del reconocimiento institucional, una cuestión que en España ha conducido a profundos conflictos y huelgas generales, a raíz de diversas reformas laborales orientadas a limitar la capacidad de intervención de los sindicatos y de la representación sindical en la empresa (</w:t>
      </w:r>
      <w:proofErr w:type="spellStart"/>
      <w:r w:rsidRPr="00FE4D46">
        <w:rPr>
          <w:rFonts w:ascii="Verdana" w:hAnsi="Verdana" w:cs="Arial"/>
        </w:rPr>
        <w:t>Baylos</w:t>
      </w:r>
      <w:proofErr w:type="spellEnd"/>
      <w:r w:rsidRPr="00FE4D46">
        <w:rPr>
          <w:rFonts w:ascii="Verdana" w:hAnsi="Verdana" w:cs="Arial"/>
        </w:rPr>
        <w:t>, 2012; Benito et al., 2014</w:t>
      </w:r>
      <w:r w:rsidRPr="00FE4D46">
        <w:rPr>
          <w:rFonts w:ascii="Verdana" w:hAnsi="Verdana"/>
        </w:rPr>
        <w:t>)</w:t>
      </w:r>
      <w:r w:rsidRPr="00FE4D46">
        <w:rPr>
          <w:rStyle w:val="Refdenotaalpie"/>
          <w:rFonts w:ascii="Verdana" w:hAnsi="Verdana"/>
        </w:rPr>
        <w:footnoteReference w:id="15"/>
      </w:r>
      <w:r w:rsidRPr="00FE4D46">
        <w:rPr>
          <w:rFonts w:ascii="Verdana" w:hAnsi="Verdana"/>
        </w:rPr>
        <w:t>, también por determinadas actitudes de las organizaciones empresariales</w:t>
      </w:r>
      <w:r w:rsidRPr="00FE4D46">
        <w:rPr>
          <w:rStyle w:val="Refdenotaalpie"/>
          <w:rFonts w:ascii="Verdana" w:hAnsi="Verdana"/>
        </w:rPr>
        <w:footnoteReference w:id="16"/>
      </w:r>
      <w:r w:rsidRPr="00FE4D46">
        <w:rPr>
          <w:rFonts w:ascii="Verdana" w:hAnsi="Verdana"/>
        </w:rPr>
        <w:t xml:space="preserve">. La tendencia hegemónica neoliberal actual pone en cuestión a los sindicatos y la negociación colectiva y no sólo no los presenta como posible solución a los problemas de organización del trabajo (ver </w:t>
      </w:r>
      <w:proofErr w:type="spellStart"/>
      <w:r w:rsidRPr="00FE4D46">
        <w:rPr>
          <w:rFonts w:ascii="Verdana" w:hAnsi="Verdana"/>
        </w:rPr>
        <w:t>Bryson</w:t>
      </w:r>
      <w:proofErr w:type="spellEnd"/>
      <w:r w:rsidRPr="00FE4D46">
        <w:rPr>
          <w:rFonts w:ascii="Verdana" w:hAnsi="Verdana"/>
        </w:rPr>
        <w:t xml:space="preserve"> et al., 2006), de estímulo a la innovación técnica (</w:t>
      </w:r>
      <w:proofErr w:type="spellStart"/>
      <w:r w:rsidRPr="00FE4D46">
        <w:rPr>
          <w:rFonts w:ascii="Verdana" w:hAnsi="Verdana"/>
        </w:rPr>
        <w:t>Bryson</w:t>
      </w:r>
      <w:proofErr w:type="spellEnd"/>
      <w:r w:rsidRPr="00FE4D46">
        <w:rPr>
          <w:rFonts w:ascii="Verdana" w:hAnsi="Verdana"/>
        </w:rPr>
        <w:t xml:space="preserve"> et al., 2005) o de resolución de las quejas, agravios y disputas derivadas de las relaciones sociales de trabajo (ver </w:t>
      </w:r>
      <w:proofErr w:type="spellStart"/>
      <w:r w:rsidRPr="00FE4D46">
        <w:rPr>
          <w:rFonts w:ascii="Verdana" w:hAnsi="Verdana"/>
        </w:rPr>
        <w:t>Antcliff</w:t>
      </w:r>
      <w:proofErr w:type="spellEnd"/>
      <w:r w:rsidRPr="00FE4D46">
        <w:rPr>
          <w:rFonts w:ascii="Verdana" w:hAnsi="Verdana"/>
        </w:rPr>
        <w:t xml:space="preserve"> y </w:t>
      </w:r>
      <w:proofErr w:type="spellStart"/>
      <w:r w:rsidRPr="00FE4D46">
        <w:rPr>
          <w:rFonts w:ascii="Verdana" w:hAnsi="Verdana"/>
        </w:rPr>
        <w:t>Saundry</w:t>
      </w:r>
      <w:proofErr w:type="spellEnd"/>
      <w:r w:rsidRPr="00FE4D46">
        <w:rPr>
          <w:rFonts w:ascii="Verdana" w:hAnsi="Verdana"/>
        </w:rPr>
        <w:t>, 2009)</w:t>
      </w:r>
      <w:r w:rsidRPr="00FE4D46">
        <w:rPr>
          <w:rStyle w:val="Refdenotaalpie"/>
          <w:rFonts w:ascii="Verdana" w:hAnsi="Verdana"/>
        </w:rPr>
        <w:footnoteReference w:id="17"/>
      </w:r>
      <w:r w:rsidRPr="00FE4D46">
        <w:rPr>
          <w:rFonts w:ascii="Verdana" w:hAnsi="Verdana"/>
        </w:rPr>
        <w:t xml:space="preserve">, sino que los califica como el verdadero problema y causa de las dificultades de los trabajadores en los mercados de trabajo y de las empresas en competencia global. </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Pero como exponen </w:t>
      </w:r>
      <w:proofErr w:type="spellStart"/>
      <w:r w:rsidRPr="00FE4D46">
        <w:rPr>
          <w:rFonts w:ascii="Verdana" w:hAnsi="Verdana"/>
        </w:rPr>
        <w:t>Lévesque</w:t>
      </w:r>
      <w:proofErr w:type="spellEnd"/>
      <w:r w:rsidRPr="00FE4D46">
        <w:rPr>
          <w:rFonts w:ascii="Verdana" w:hAnsi="Verdana"/>
        </w:rPr>
        <w:t xml:space="preserve"> et al. (2005), también </w:t>
      </w:r>
      <w:proofErr w:type="spellStart"/>
      <w:r w:rsidRPr="00FE4D46">
        <w:rPr>
          <w:rFonts w:ascii="Verdana" w:hAnsi="Verdana"/>
        </w:rPr>
        <w:t>Dufour</w:t>
      </w:r>
      <w:proofErr w:type="spellEnd"/>
      <w:r w:rsidRPr="00FE4D46">
        <w:rPr>
          <w:rFonts w:ascii="Verdana" w:hAnsi="Verdana"/>
        </w:rPr>
        <w:t xml:space="preserve"> et al. (2010), no se deben olvidar en este análisis los factores internos y, dentro de ellos, los esfuerzos realizados por las organizaciones para renovar su capacidad de ser voz de los asalariados. Aunque los retrocesos sean quizás en determinados momentos más importantes que los avances, el análisis de las carencias, dificultades, errores, siempre resulta indispensable para hacer frente a este tipo de situaciones. Ahora bien, desde el punto de vista interno, en el caso español las elecciones sindicales son un eje fundamental en la relación entre representantes y representados: las elecciones sindicales necesitan de afiliados y militantes para garantizar su éxito, al mismo tiempo que la representación conseguida es clave en la negociación colectiva o en la gestión del conflicto. En ese sentido, como expone </w:t>
      </w:r>
      <w:proofErr w:type="spellStart"/>
      <w:r w:rsidRPr="00FE4D46">
        <w:rPr>
          <w:rFonts w:ascii="Verdana" w:hAnsi="Verdana"/>
        </w:rPr>
        <w:t>Voss</w:t>
      </w:r>
      <w:proofErr w:type="spellEnd"/>
      <w:r w:rsidRPr="00FE4D46">
        <w:rPr>
          <w:rFonts w:ascii="Verdana" w:hAnsi="Verdana"/>
        </w:rPr>
        <w:t xml:space="preserve"> (2010), la democracia interna, la participación, aunque plantea fuertes dilemas debido a la creciente segmentación laboral, es el aceite que permite el funcionamiento de la maquinaria representativa para afrontar los grandes </w:t>
      </w:r>
      <w:r w:rsidRPr="00FE4D46">
        <w:rPr>
          <w:rFonts w:ascii="Verdana" w:hAnsi="Verdana"/>
        </w:rPr>
        <w:lastRenderedPageBreak/>
        <w:t>retos de incorporar plenamente a jóvenes, inmigrantes, mujeres y hombres, cualificados y no cualificados, del Norte y del Sur, del centro y de la periferia.</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Por tanto, podemos interrogarnos sobre la complementariedad y la competencia entre formas de representación unitaria y sindical. La hipótesis de su complementariedad y la existencia de una combinación de factores internos y externos a los sindicatos que delimitan su representatividad </w:t>
      </w:r>
      <w:proofErr w:type="gramStart"/>
      <w:r w:rsidRPr="00FE4D46">
        <w:rPr>
          <w:rFonts w:ascii="Verdana" w:hAnsi="Verdana"/>
        </w:rPr>
        <w:t>es</w:t>
      </w:r>
      <w:proofErr w:type="gramEnd"/>
      <w:r w:rsidRPr="00FE4D46">
        <w:rPr>
          <w:rFonts w:ascii="Verdana" w:hAnsi="Verdana"/>
        </w:rPr>
        <w:t xml:space="preserve"> clave para entender buena parte de los retos actuales de las organizaciones sindicales. Precisamente en su comparación entre Francia y Alemania, </w:t>
      </w:r>
      <w:proofErr w:type="spellStart"/>
      <w:r w:rsidRPr="00FE4D46">
        <w:rPr>
          <w:rFonts w:ascii="Verdana" w:hAnsi="Verdana"/>
        </w:rPr>
        <w:t>Gumbrell-McCormick</w:t>
      </w:r>
      <w:proofErr w:type="spellEnd"/>
      <w:r w:rsidRPr="00FE4D46">
        <w:rPr>
          <w:rFonts w:ascii="Verdana" w:hAnsi="Verdana"/>
        </w:rPr>
        <w:t xml:space="preserve"> y </w:t>
      </w:r>
      <w:proofErr w:type="spellStart"/>
      <w:r w:rsidRPr="00FE4D46">
        <w:rPr>
          <w:rFonts w:ascii="Verdana" w:hAnsi="Verdana"/>
        </w:rPr>
        <w:t>Hyman</w:t>
      </w:r>
      <w:proofErr w:type="spellEnd"/>
      <w:r w:rsidRPr="00FE4D46">
        <w:rPr>
          <w:rFonts w:ascii="Verdana" w:hAnsi="Verdana"/>
        </w:rPr>
        <w:t xml:space="preserve"> (2006) concluyen que en estos dos países, con fuertes regulaciones legales y doble canal de representación (con similitudes con el caso español</w:t>
      </w:r>
      <w:r w:rsidRPr="00FE4D46">
        <w:rPr>
          <w:rStyle w:val="Refdenotaalpie"/>
          <w:rFonts w:ascii="Verdana" w:hAnsi="Verdana"/>
        </w:rPr>
        <w:footnoteReference w:id="18"/>
      </w:r>
      <w:r w:rsidRPr="00FE4D46">
        <w:rPr>
          <w:rFonts w:ascii="Verdana" w:hAnsi="Verdana"/>
        </w:rPr>
        <w:t>), existe una aparente complementariedad entre la organización del sindicato en la empresa (nuestro delegado o sección sindical) y las organizaciones unitarias representativas de los trabajadores en la empresa (delegado de personal o comité de empresa), lo que puede contribuir a que se refuercen o se debiliten mutuamente, en función del grado de integración que consigan, en términos de poder y de confianza</w:t>
      </w:r>
      <w:r w:rsidRPr="00FE4D46">
        <w:rPr>
          <w:rStyle w:val="Refdenotaalpie"/>
          <w:rFonts w:ascii="Verdana" w:hAnsi="Verdana"/>
        </w:rPr>
        <w:footnoteReference w:id="19"/>
      </w:r>
      <w:r w:rsidRPr="00FE4D46">
        <w:rPr>
          <w:rFonts w:ascii="Verdana" w:hAnsi="Verdana"/>
        </w:rPr>
        <w:t>. Y ello requiere de capacidades estratégicas (y renovación) por parte del sindicato, pero también de aceptación y colaboración por parte de la dirección de las empresas, para conseguir acuerdos negociados o sufrir imposiciones unilaterales</w:t>
      </w:r>
      <w:r w:rsidRPr="00FE4D46">
        <w:rPr>
          <w:rStyle w:val="Refdenotaalpie"/>
          <w:rFonts w:ascii="Verdana" w:hAnsi="Verdana"/>
        </w:rPr>
        <w:footnoteReference w:id="20"/>
      </w:r>
      <w:r w:rsidRPr="00FE4D46">
        <w:rPr>
          <w:rFonts w:ascii="Verdana" w:hAnsi="Verdana"/>
        </w:rPr>
        <w:t>.</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Claro, esto en el caso de las grandes empresas. Cuando la referencia son las pequeñas la clave son los mecanismos institucionales de representatividad de las organizaciones de los asalariados y de extensión de la negociación colectiva, puesto que en caso contrario la capacidad de imposición unilateral de las empresas es plena; sin olvidar experiencias internacionales de “sindicalismo de proximidad” o “sindicalismo de comunidad”, que parecen dar algunos frutos</w:t>
      </w:r>
      <w:r w:rsidRPr="00FE4D46">
        <w:rPr>
          <w:rStyle w:val="Refdenotaalpie"/>
          <w:rFonts w:ascii="Verdana" w:hAnsi="Verdana"/>
        </w:rPr>
        <w:footnoteReference w:id="21"/>
      </w:r>
      <w:r w:rsidRPr="00FE4D46">
        <w:rPr>
          <w:rFonts w:ascii="Verdana" w:hAnsi="Verdana"/>
        </w:rPr>
        <w:t xml:space="preserve">. </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La literatura especializada ofrece, además, algunos resultados sobre estudios de elecciones sindicales y la representación (delegados) resultante. En orden a la contrastación con los resultados del análisis de la base de </w:t>
      </w:r>
      <w:r w:rsidRPr="00FE4D46">
        <w:rPr>
          <w:rFonts w:ascii="Verdana" w:hAnsi="Verdana"/>
        </w:rPr>
        <w:lastRenderedPageBreak/>
        <w:t>datos que hemos podido manejar, señalamos seguidamente algunos de ellos que permiten un cierto grado de comparación.</w:t>
      </w:r>
    </w:p>
    <w:p w:rsidR="00FE4D46" w:rsidRDefault="00FE4D46" w:rsidP="00FE4D46">
      <w:pPr>
        <w:autoSpaceDE w:val="0"/>
        <w:autoSpaceDN w:val="0"/>
        <w:adjustRightInd w:val="0"/>
        <w:spacing w:after="0" w:line="240" w:lineRule="auto"/>
        <w:jc w:val="both"/>
        <w:rPr>
          <w:rFonts w:ascii="Verdana" w:hAnsi="Verdana"/>
        </w:rPr>
      </w:pPr>
    </w:p>
    <w:p w:rsidR="00FE4D46" w:rsidRPr="00FE4D46" w:rsidRDefault="00FE4D46" w:rsidP="00FE4D46">
      <w:pPr>
        <w:autoSpaceDE w:val="0"/>
        <w:autoSpaceDN w:val="0"/>
        <w:adjustRightInd w:val="0"/>
        <w:spacing w:after="0" w:line="240" w:lineRule="auto"/>
        <w:jc w:val="both"/>
        <w:rPr>
          <w:rFonts w:ascii="Verdana" w:hAnsi="Verdana"/>
        </w:rPr>
      </w:pPr>
      <w:proofErr w:type="spellStart"/>
      <w:r w:rsidRPr="00FE4D46">
        <w:rPr>
          <w:rFonts w:ascii="Verdana" w:hAnsi="Verdana"/>
        </w:rPr>
        <w:t>Farber</w:t>
      </w:r>
      <w:proofErr w:type="spellEnd"/>
      <w:r w:rsidRPr="00FE4D46">
        <w:rPr>
          <w:rFonts w:ascii="Verdana" w:hAnsi="Verdana"/>
        </w:rPr>
        <w:t xml:space="preserve"> (2001) subraya la dimensión de las empresas como variable clave para el análisis de la representación sindical en las elecciones sindicales (certificación) en Estados Unidos. El autor, en primer lugar, describe la evolución de las elecciones sindicales a lo largo de un período dilatado (1945-1998) y para el caso norteamericano destaca un dramático declive, tanto en número de empresas donde se realizan elecciones, como en número de votantes. Seguidamente muestra la relación entre dicha evolución y el tamaño de las unidades empresariales, de manera que a mayor dimensión mayor descenso; cuestión que imputa al posible cambio de comportamiento de la dirección de las grandes empresas hacia los sindicatos, o bien a la posibilidad de que en la pequeña unidad donde se realiza elecciones es probable que se dé mayor participación. Otro elemento interesante de su análisis es la dinámica o demografía empresarial (empresas ya existentes y empresas nuevas) en particular, para comprobar la aserción de que el declive electoral de los sindicatos norteamericanos es independiente del cambio en las actitudes de trabajadores y empresarios, dado que en el caso de Estados Unidos, las empresas nuevas nacen sin sindicatos, por tanto su evolución comparada, en términos de sindicalización o no, con las empresas que permanecen, puede ayudar a comprobar su hipótesis.</w:t>
      </w:r>
    </w:p>
    <w:p w:rsidR="00FE4D46" w:rsidRDefault="00FE4D46" w:rsidP="00FE4D46">
      <w:pPr>
        <w:autoSpaceDE w:val="0"/>
        <w:autoSpaceDN w:val="0"/>
        <w:adjustRightInd w:val="0"/>
        <w:spacing w:after="0" w:line="240" w:lineRule="auto"/>
        <w:jc w:val="both"/>
        <w:rPr>
          <w:rFonts w:ascii="Verdana" w:hAnsi="Verdana"/>
        </w:rPr>
      </w:pPr>
    </w:p>
    <w:p w:rsidR="00FE4D46" w:rsidRPr="00FE4D46" w:rsidRDefault="00FE4D46" w:rsidP="00FE4D46">
      <w:pPr>
        <w:autoSpaceDE w:val="0"/>
        <w:autoSpaceDN w:val="0"/>
        <w:adjustRightInd w:val="0"/>
        <w:spacing w:after="0" w:line="240" w:lineRule="auto"/>
        <w:jc w:val="both"/>
        <w:rPr>
          <w:rFonts w:ascii="Verdana" w:hAnsi="Verdana" w:cs="Calibri"/>
          <w:bCs/>
        </w:rPr>
      </w:pPr>
      <w:r w:rsidRPr="00FE4D46">
        <w:rPr>
          <w:rFonts w:ascii="Verdana" w:hAnsi="Verdana"/>
        </w:rPr>
        <w:t xml:space="preserve">Otro de los aspectos remarcados por la literatura especializada, sobre todo la anglosajona dadas las características de representación por afiliación (presencia) y la expansión de las empresas no sindicalizadas (empresas con ausencia de sindicato o sindicato no reconocido), es la diferencia entre trabajadores sindicalizados y no sindicalizados (o no representados por sindicatos). Las empresas no sindicalizadas pueden incentivar la representación colectiva pero al margen de las tradicionales organizaciones de los trabajadores. Serían, salvando la distancia, lo que nosotros conocemos como candidaturas no sindicales o determinados sindicatos de empresa. </w:t>
      </w:r>
      <w:r w:rsidRPr="00FE4D46">
        <w:rPr>
          <w:rFonts w:ascii="Verdana" w:hAnsi="Verdana" w:cs="Calibri"/>
        </w:rPr>
        <w:t xml:space="preserve">Taras y  </w:t>
      </w:r>
      <w:proofErr w:type="spellStart"/>
      <w:r w:rsidRPr="00FE4D46">
        <w:rPr>
          <w:rFonts w:ascii="Verdana" w:hAnsi="Verdana" w:cs="Calibri"/>
        </w:rPr>
        <w:t>Kaufman</w:t>
      </w:r>
      <w:proofErr w:type="spellEnd"/>
      <w:r w:rsidRPr="00FE4D46">
        <w:rPr>
          <w:rFonts w:ascii="Verdana" w:hAnsi="Verdana" w:cs="Calibri"/>
          <w:bCs/>
        </w:rPr>
        <w:t xml:space="preserve"> (2006), en un estudio sobre Norteamérica, además de ofrecer una interesante tipología de este tipo de representación, subrayan su crecimiento, que llega a representar a más trabajadores en Estados Unidos (no en Canadá) que los propios sindicatos.</w:t>
      </w:r>
    </w:p>
    <w:p w:rsidR="00FE4D46" w:rsidRDefault="00FE4D46" w:rsidP="00FE4D46">
      <w:pPr>
        <w:autoSpaceDE w:val="0"/>
        <w:autoSpaceDN w:val="0"/>
        <w:adjustRightInd w:val="0"/>
        <w:spacing w:after="0" w:line="240" w:lineRule="auto"/>
        <w:jc w:val="both"/>
        <w:rPr>
          <w:rFonts w:ascii="Verdana" w:hAnsi="Verdana" w:cs="Calibri"/>
          <w:bCs/>
        </w:rPr>
      </w:pPr>
    </w:p>
    <w:p w:rsidR="00FE4D46" w:rsidRPr="00FE4D46" w:rsidRDefault="00FE4D46" w:rsidP="00FE4D46">
      <w:pPr>
        <w:autoSpaceDE w:val="0"/>
        <w:autoSpaceDN w:val="0"/>
        <w:adjustRightInd w:val="0"/>
        <w:spacing w:after="0" w:line="240" w:lineRule="auto"/>
        <w:jc w:val="both"/>
        <w:rPr>
          <w:rFonts w:ascii="Verdana" w:hAnsi="Verdana"/>
        </w:rPr>
      </w:pPr>
      <w:proofErr w:type="spellStart"/>
      <w:r w:rsidRPr="00FE4D46">
        <w:rPr>
          <w:rFonts w:ascii="Verdana" w:hAnsi="Verdana" w:cs="Calibri"/>
          <w:bCs/>
        </w:rPr>
        <w:t>Charlwood</w:t>
      </w:r>
      <w:proofErr w:type="spellEnd"/>
      <w:r w:rsidRPr="00FE4D46">
        <w:rPr>
          <w:rFonts w:ascii="Verdana" w:hAnsi="Verdana" w:cs="Calibri"/>
          <w:bCs/>
        </w:rPr>
        <w:t xml:space="preserve"> y </w:t>
      </w:r>
      <w:proofErr w:type="spellStart"/>
      <w:r w:rsidRPr="00FE4D46">
        <w:rPr>
          <w:rFonts w:ascii="Verdana" w:hAnsi="Verdana" w:cs="Calibri"/>
          <w:bCs/>
        </w:rPr>
        <w:t>Forth</w:t>
      </w:r>
      <w:proofErr w:type="spellEnd"/>
      <w:r w:rsidRPr="00FE4D46">
        <w:rPr>
          <w:rFonts w:ascii="Verdana" w:hAnsi="Verdana" w:cs="Calibri"/>
          <w:bCs/>
        </w:rPr>
        <w:t xml:space="preserve"> (2011) remarcan para el Reino Unido el declive del número de </w:t>
      </w:r>
      <w:r w:rsidRPr="00FE4D46">
        <w:rPr>
          <w:rFonts w:ascii="Verdana" w:hAnsi="Verdana" w:cs="Calibri"/>
          <w:bCs/>
          <w:i/>
        </w:rPr>
        <w:t xml:space="preserve">shop </w:t>
      </w:r>
      <w:proofErr w:type="spellStart"/>
      <w:r w:rsidRPr="00FE4D46">
        <w:rPr>
          <w:rFonts w:ascii="Verdana" w:hAnsi="Verdana" w:cs="Calibri"/>
          <w:bCs/>
          <w:i/>
        </w:rPr>
        <w:t>stewards</w:t>
      </w:r>
      <w:proofErr w:type="spellEnd"/>
      <w:r w:rsidRPr="00FE4D46">
        <w:rPr>
          <w:rFonts w:ascii="Verdana" w:hAnsi="Verdana" w:cs="Calibri"/>
          <w:bCs/>
        </w:rPr>
        <w:t xml:space="preserve"> y de empresas en las que están presentes. Así en 1980 había 328.000 </w:t>
      </w:r>
      <w:r w:rsidRPr="00FE4D46">
        <w:rPr>
          <w:rFonts w:ascii="Verdana" w:hAnsi="Verdana" w:cs="Calibri"/>
          <w:bCs/>
          <w:i/>
        </w:rPr>
        <w:t xml:space="preserve">shop </w:t>
      </w:r>
      <w:proofErr w:type="spellStart"/>
      <w:r w:rsidRPr="00FE4D46">
        <w:rPr>
          <w:rFonts w:ascii="Verdana" w:hAnsi="Verdana" w:cs="Calibri"/>
          <w:bCs/>
          <w:i/>
        </w:rPr>
        <w:t>stewards</w:t>
      </w:r>
      <w:proofErr w:type="spellEnd"/>
      <w:r w:rsidRPr="00FE4D46">
        <w:rPr>
          <w:rFonts w:ascii="Verdana" w:hAnsi="Verdana" w:cs="Calibri"/>
          <w:bCs/>
        </w:rPr>
        <w:t xml:space="preserve"> representando el 50% de centros de trabajo, mientras que en 2004, los autores hablan de 128.000 delegados y el 23% de los centros de trabajo representados. Naturalmente, los autores distinguen entre centros de trabajo con sindicatos reconocidos y centros con sindicatos no reconocidos (dicho reconocimiento siempre otorgado por la empresa), de manera que la presencia de </w:t>
      </w:r>
      <w:r w:rsidRPr="00FE4D46">
        <w:rPr>
          <w:rFonts w:ascii="Verdana" w:hAnsi="Verdana" w:cs="Calibri"/>
          <w:bCs/>
          <w:i/>
        </w:rPr>
        <w:t xml:space="preserve">shop </w:t>
      </w:r>
      <w:proofErr w:type="spellStart"/>
      <w:r w:rsidRPr="00FE4D46">
        <w:rPr>
          <w:rFonts w:ascii="Verdana" w:hAnsi="Verdana" w:cs="Calibri"/>
          <w:bCs/>
          <w:i/>
        </w:rPr>
        <w:t>stewards</w:t>
      </w:r>
      <w:proofErr w:type="spellEnd"/>
      <w:r w:rsidRPr="00FE4D46">
        <w:rPr>
          <w:rFonts w:ascii="Verdana" w:hAnsi="Verdana" w:cs="Calibri"/>
          <w:bCs/>
        </w:rPr>
        <w:t xml:space="preserve"> entre los primeros y los segundos difiere entre el 62% y el 23%. Allá donde los sindicatos son reconocidos la presencia de </w:t>
      </w:r>
      <w:r w:rsidRPr="00FE4D46">
        <w:rPr>
          <w:rFonts w:ascii="Verdana" w:hAnsi="Verdana" w:cs="Calibri"/>
          <w:bCs/>
          <w:i/>
        </w:rPr>
        <w:t xml:space="preserve">shop </w:t>
      </w:r>
      <w:proofErr w:type="spellStart"/>
      <w:r w:rsidRPr="00FE4D46">
        <w:rPr>
          <w:rFonts w:ascii="Verdana" w:hAnsi="Verdana" w:cs="Calibri"/>
          <w:bCs/>
          <w:i/>
        </w:rPr>
        <w:t>stewards</w:t>
      </w:r>
      <w:proofErr w:type="spellEnd"/>
      <w:r w:rsidRPr="00FE4D46">
        <w:rPr>
          <w:rFonts w:ascii="Verdana" w:hAnsi="Verdana" w:cs="Calibri"/>
          <w:bCs/>
        </w:rPr>
        <w:t xml:space="preserve"> es más </w:t>
      </w:r>
      <w:proofErr w:type="gramStart"/>
      <w:r w:rsidRPr="00FE4D46">
        <w:rPr>
          <w:rFonts w:ascii="Verdana" w:hAnsi="Verdana" w:cs="Calibri"/>
          <w:bCs/>
        </w:rPr>
        <w:t>elevada</w:t>
      </w:r>
      <w:proofErr w:type="gramEnd"/>
      <w:r w:rsidRPr="00FE4D46">
        <w:rPr>
          <w:rFonts w:ascii="Verdana" w:hAnsi="Verdana" w:cs="Calibri"/>
          <w:bCs/>
        </w:rPr>
        <w:t xml:space="preserve">, así en la industria es del 70%, seguida del sector público y finalmente los servicios privados; pero la distancia entre el porcentaje de unos y otros es de 7 puntos. En el conjunto de las empresas, en cambio, la cobertura de </w:t>
      </w:r>
      <w:r w:rsidRPr="00FE4D46">
        <w:rPr>
          <w:rFonts w:ascii="Verdana" w:hAnsi="Verdana" w:cs="Calibri"/>
          <w:bCs/>
          <w:i/>
        </w:rPr>
        <w:t xml:space="preserve">shop </w:t>
      </w:r>
      <w:proofErr w:type="spellStart"/>
      <w:r w:rsidRPr="00FE4D46">
        <w:rPr>
          <w:rFonts w:ascii="Verdana" w:hAnsi="Verdana" w:cs="Calibri"/>
          <w:bCs/>
          <w:i/>
        </w:rPr>
        <w:t>stewards</w:t>
      </w:r>
      <w:proofErr w:type="spellEnd"/>
      <w:r w:rsidRPr="00FE4D46">
        <w:rPr>
          <w:rFonts w:ascii="Verdana" w:hAnsi="Verdana" w:cs="Calibri"/>
          <w:bCs/>
        </w:rPr>
        <w:t xml:space="preserve"> es mayor en el sector público (55%) y mucho menor en los </w:t>
      </w:r>
      <w:r w:rsidRPr="00FE4D46">
        <w:rPr>
          <w:rFonts w:ascii="Verdana" w:hAnsi="Verdana" w:cs="Calibri"/>
          <w:bCs/>
        </w:rPr>
        <w:lastRenderedPageBreak/>
        <w:t xml:space="preserve">servicios privados (11%), mientras la industria se queda en el 26%. Otro resultado interesante de su estudio es que la afiliación sindical está estrechamente relacionada con la presencia de delegados. Así, donde hay afiliados la presencia de </w:t>
      </w:r>
      <w:r w:rsidRPr="00FE4D46">
        <w:rPr>
          <w:rFonts w:ascii="Verdana" w:hAnsi="Verdana" w:cs="Calibri"/>
          <w:bCs/>
          <w:i/>
        </w:rPr>
        <w:t xml:space="preserve">shop </w:t>
      </w:r>
      <w:proofErr w:type="spellStart"/>
      <w:r w:rsidRPr="00FE4D46">
        <w:rPr>
          <w:rFonts w:ascii="Verdana" w:hAnsi="Verdana" w:cs="Calibri"/>
          <w:bCs/>
          <w:i/>
        </w:rPr>
        <w:t>stewards</w:t>
      </w:r>
      <w:proofErr w:type="spellEnd"/>
      <w:r w:rsidRPr="00FE4D46">
        <w:rPr>
          <w:rFonts w:ascii="Verdana" w:hAnsi="Verdana" w:cs="Calibri"/>
          <w:bCs/>
        </w:rPr>
        <w:t xml:space="preserve"> aumenta hasta el 79% (89% en la industria y 72% en los servicios privados). Igualmente subrayan el tamaño de empresa, de manera que a mayor tamaño, hay más posibilidad de observar la presencia de </w:t>
      </w:r>
      <w:r w:rsidRPr="00FE4D46">
        <w:rPr>
          <w:rFonts w:ascii="Verdana" w:hAnsi="Verdana" w:cs="Calibri"/>
          <w:bCs/>
          <w:i/>
        </w:rPr>
        <w:t xml:space="preserve">shop </w:t>
      </w:r>
      <w:proofErr w:type="spellStart"/>
      <w:r w:rsidRPr="00FE4D46">
        <w:rPr>
          <w:rFonts w:ascii="Verdana" w:hAnsi="Verdana" w:cs="Calibri"/>
          <w:bCs/>
          <w:i/>
        </w:rPr>
        <w:t>stewards</w:t>
      </w:r>
      <w:proofErr w:type="spellEnd"/>
      <w:r w:rsidRPr="00FE4D46">
        <w:rPr>
          <w:rFonts w:ascii="Verdana" w:hAnsi="Verdana" w:cs="Calibri"/>
          <w:bCs/>
        </w:rPr>
        <w:t xml:space="preserve">. A su parecer, sin embargo, uno de los problemas de la representación en el Reino Unido es el hecho de que los </w:t>
      </w:r>
      <w:r w:rsidRPr="00FE4D46">
        <w:rPr>
          <w:rFonts w:ascii="Verdana" w:hAnsi="Verdana" w:cs="Calibri"/>
          <w:bCs/>
          <w:i/>
        </w:rPr>
        <w:t xml:space="preserve">shop </w:t>
      </w:r>
      <w:proofErr w:type="spellStart"/>
      <w:r w:rsidRPr="00FE4D46">
        <w:rPr>
          <w:rFonts w:ascii="Verdana" w:hAnsi="Verdana" w:cs="Calibri"/>
          <w:bCs/>
          <w:i/>
        </w:rPr>
        <w:t>stewards</w:t>
      </w:r>
      <w:proofErr w:type="spellEnd"/>
      <w:r w:rsidRPr="00FE4D46">
        <w:rPr>
          <w:rFonts w:ascii="Verdana" w:hAnsi="Verdana" w:cs="Calibri"/>
          <w:bCs/>
        </w:rPr>
        <w:t xml:space="preserve"> experimentados (</w:t>
      </w:r>
      <w:r w:rsidRPr="00FE4D46">
        <w:rPr>
          <w:rFonts w:ascii="Verdana" w:hAnsi="Verdana" w:cs="Calibri"/>
          <w:bCs/>
          <w:i/>
        </w:rPr>
        <w:t>seniors</w:t>
      </w:r>
      <w:r w:rsidRPr="00FE4D46">
        <w:rPr>
          <w:rFonts w:ascii="Verdana" w:hAnsi="Verdana" w:cs="Calibri"/>
          <w:bCs/>
        </w:rPr>
        <w:t>) por sus características demográficas y ocupacionales, no reflejan la composición actual de los ocupados británicos. Algo a lo que sí está más cercana la creciente representación no sindical en dicho país, con más jóvenes, más mujeres, menor antigüedad en sus empleos; pero éstos, entre otras cosas quizás porque no han sido elegidos, no cuentan con el apoyo de los trabajadores que prefieren en general a los delegados sindicalizados. En todo caso, concluyen, ambos tipos de delegados, actualmente, están fuertemente constreñidos por las empresas</w:t>
      </w:r>
      <w:r w:rsidRPr="00FE4D46">
        <w:rPr>
          <w:rStyle w:val="Refdenotaalpie"/>
          <w:rFonts w:ascii="Verdana" w:hAnsi="Verdana" w:cs="Calibri"/>
          <w:bCs/>
        </w:rPr>
        <w:footnoteReference w:id="22"/>
      </w:r>
      <w:r w:rsidRPr="00FE4D46">
        <w:rPr>
          <w:rFonts w:ascii="Verdana" w:hAnsi="Verdana" w:cs="Calibri"/>
          <w:bCs/>
        </w:rPr>
        <w:t>.</w:t>
      </w:r>
    </w:p>
    <w:p w:rsidR="00FE4D46" w:rsidRDefault="00FE4D46" w:rsidP="00FE4D46">
      <w:pPr>
        <w:autoSpaceDE w:val="0"/>
        <w:autoSpaceDN w:val="0"/>
        <w:adjustRightInd w:val="0"/>
        <w:spacing w:after="0" w:line="240" w:lineRule="auto"/>
        <w:jc w:val="both"/>
        <w:rPr>
          <w:rFonts w:ascii="Verdana" w:hAnsi="Verdana"/>
        </w:rPr>
      </w:pPr>
    </w:p>
    <w:p w:rsidR="00FE4D46" w:rsidRPr="00FE4D46" w:rsidRDefault="00FE4D46" w:rsidP="00FE4D46">
      <w:pPr>
        <w:autoSpaceDE w:val="0"/>
        <w:autoSpaceDN w:val="0"/>
        <w:adjustRightInd w:val="0"/>
        <w:spacing w:after="0" w:line="240" w:lineRule="auto"/>
        <w:jc w:val="both"/>
        <w:rPr>
          <w:rFonts w:ascii="Verdana" w:hAnsi="Verdana"/>
        </w:rPr>
      </w:pPr>
      <w:r w:rsidRPr="00FE4D46">
        <w:rPr>
          <w:rFonts w:ascii="Verdana" w:hAnsi="Verdana"/>
        </w:rPr>
        <w:t xml:space="preserve">Otro de los elementos de estudio ha sido la representación de unos u otros grupos y colectivos. Así diversas investigaciones subrayan la menor representación de las mujeres no sólo en las funciones de responsabilidad organizativa, sino de participación en la base o en los organismos unitarios. Por ejemplo </w:t>
      </w:r>
      <w:proofErr w:type="spellStart"/>
      <w:r w:rsidRPr="00FE4D46">
        <w:rPr>
          <w:rFonts w:ascii="Verdana" w:hAnsi="Verdana"/>
        </w:rPr>
        <w:t>Blaschke</w:t>
      </w:r>
      <w:proofErr w:type="spellEnd"/>
      <w:r w:rsidRPr="00FE4D46">
        <w:rPr>
          <w:rFonts w:ascii="Verdana" w:hAnsi="Verdana"/>
        </w:rPr>
        <w:t xml:space="preserve"> (2011) para Austria y Alemania, o Le </w:t>
      </w:r>
      <w:proofErr w:type="spellStart"/>
      <w:r w:rsidRPr="00FE4D46">
        <w:rPr>
          <w:rFonts w:ascii="Verdana" w:hAnsi="Verdana"/>
        </w:rPr>
        <w:t>Capitaine</w:t>
      </w:r>
      <w:proofErr w:type="spellEnd"/>
      <w:r w:rsidRPr="00FE4D46">
        <w:rPr>
          <w:rFonts w:ascii="Verdana" w:hAnsi="Verdana"/>
        </w:rPr>
        <w:t xml:space="preserve"> et al. (2013) para Canadá, muestran que los delegados masculinos tienen más capacidad de ‘representación’ (</w:t>
      </w:r>
      <w:proofErr w:type="spellStart"/>
      <w:r w:rsidRPr="00FE4D46">
        <w:rPr>
          <w:rFonts w:ascii="Verdana" w:hAnsi="Verdana"/>
          <w:i/>
        </w:rPr>
        <w:t>empowerment</w:t>
      </w:r>
      <w:proofErr w:type="spellEnd"/>
      <w:r w:rsidRPr="00FE4D46">
        <w:rPr>
          <w:rFonts w:ascii="Verdana" w:hAnsi="Verdana"/>
        </w:rPr>
        <w:t xml:space="preserve">) que las mujeres. </w:t>
      </w:r>
    </w:p>
    <w:p w:rsidR="00FE4D46" w:rsidRDefault="00FE4D46" w:rsidP="00FE4D46">
      <w:pPr>
        <w:autoSpaceDE w:val="0"/>
        <w:autoSpaceDN w:val="0"/>
        <w:adjustRightInd w:val="0"/>
        <w:spacing w:after="0" w:line="240" w:lineRule="auto"/>
        <w:jc w:val="both"/>
        <w:rPr>
          <w:rFonts w:ascii="Verdana" w:hAnsi="Verdana"/>
        </w:rPr>
      </w:pPr>
    </w:p>
    <w:p w:rsidR="00FE4D46" w:rsidRDefault="00FE4D46" w:rsidP="00FE4D46">
      <w:pPr>
        <w:autoSpaceDE w:val="0"/>
        <w:autoSpaceDN w:val="0"/>
        <w:adjustRightInd w:val="0"/>
        <w:spacing w:after="0" w:line="240" w:lineRule="auto"/>
        <w:jc w:val="both"/>
        <w:rPr>
          <w:rFonts w:ascii="Verdana" w:hAnsi="Verdana"/>
        </w:rPr>
      </w:pPr>
      <w:r w:rsidRPr="00FE4D46">
        <w:rPr>
          <w:rFonts w:ascii="Verdana" w:hAnsi="Verdana"/>
        </w:rPr>
        <w:t xml:space="preserve">En el caso de los precarios, </w:t>
      </w:r>
      <w:proofErr w:type="spellStart"/>
      <w:r w:rsidRPr="00FE4D46">
        <w:rPr>
          <w:rFonts w:ascii="Verdana" w:hAnsi="Verdana"/>
        </w:rPr>
        <w:t>Artus</w:t>
      </w:r>
      <w:proofErr w:type="spellEnd"/>
      <w:r w:rsidRPr="00FE4D46">
        <w:rPr>
          <w:rFonts w:ascii="Verdana" w:hAnsi="Verdana"/>
        </w:rPr>
        <w:t xml:space="preserve"> (2013) observa que el sistema dual alemán de representación de los asalariados (sindicatos y comités de empresa) no da cobertura a la creciente presencia de trabajadores precarios. Para analizar estas realidades se apoya en diferencias observadas por sexo, edad y contrato, según tamaño de empresa o sector. De manera que la representación en la empresa oscila entre el 6% de la pequeña empresa (hasta 50 asalariados) y el 90% de la de más de 500 trabajadores. Por sectores, el 41% de las empresas de energía tienen comités de empresa que cubren al 81% de los empleados, les siguen las de finanzas con el 29% de las empresas y el 73% de trabajadores; frente a ello en hoteles, restauración y servicios personales sólo se distinguen el 4% de las empresas, cubriendo al 15% de los trabajadores. En el caso de industria, comunicaciones, transporte o salud y enseñanza, destaca entre el 11-16% de las empresas y el 44-66% de los trabajadores. Los asalariados precarios están más presentes en las pequeñas empresas de los servicios y ello les alej</w:t>
      </w:r>
      <w:r>
        <w:rPr>
          <w:rFonts w:ascii="Verdana" w:hAnsi="Verdana"/>
        </w:rPr>
        <w:t>a de la representación sindical</w:t>
      </w:r>
    </w:p>
    <w:p w:rsidR="00FE4D46" w:rsidRPr="00FE4D46" w:rsidRDefault="00FE4D46" w:rsidP="00FE4D46">
      <w:pPr>
        <w:autoSpaceDE w:val="0"/>
        <w:autoSpaceDN w:val="0"/>
        <w:adjustRightInd w:val="0"/>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Pr>
          <w:rFonts w:ascii="Verdana" w:hAnsi="Verdana"/>
        </w:rPr>
        <w:t>Nuestra propuesta de análisis parte</w:t>
      </w:r>
      <w:r w:rsidRPr="00FE4D46">
        <w:rPr>
          <w:rFonts w:ascii="Verdana" w:hAnsi="Verdana"/>
        </w:rPr>
        <w:t xml:space="preserve"> del estado de la cuestión sobre la literatura especializada, y</w:t>
      </w:r>
      <w:r>
        <w:rPr>
          <w:rFonts w:ascii="Verdana" w:hAnsi="Verdana"/>
        </w:rPr>
        <w:t xml:space="preserve"> se desarrolla</w:t>
      </w:r>
      <w:r w:rsidRPr="00FE4D46">
        <w:rPr>
          <w:rFonts w:ascii="Verdana" w:hAnsi="Verdana"/>
        </w:rPr>
        <w:t xml:space="preserve"> en función de las variables disponibles para nuestro estudio</w:t>
      </w:r>
      <w:r>
        <w:rPr>
          <w:rFonts w:ascii="Verdana" w:hAnsi="Verdana"/>
        </w:rPr>
        <w:t xml:space="preserve"> sobre la representación de los trabajadores en España y la Unión Europea</w:t>
      </w:r>
      <w:r w:rsidRPr="00FE4D46">
        <w:rPr>
          <w:rFonts w:ascii="Verdana" w:hAnsi="Verdana"/>
        </w:rPr>
        <w:t xml:space="preserve">. Así, los factores externos o de contexto (sector, empresa, ciclo económico) pueden determinar en gran medida la representación sindical de los trabajadores; aunque en nuestro caso actúan </w:t>
      </w:r>
      <w:r w:rsidRPr="00FE4D46">
        <w:rPr>
          <w:rFonts w:ascii="Verdana" w:hAnsi="Verdana"/>
        </w:rPr>
        <w:lastRenderedPageBreak/>
        <w:t xml:space="preserve">también como variables institucionales debido a que la estructura legal de la representación de los trabajadores en España tiene su fundamento en la dimensión de las empresas. </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Aunque sobre dicha representación sindical inciden factores internos, como la propensión de los asalariados hacia la participación, en este caso en forma de voto, así como las oportunidades que las organizaciones sindicales, con su acción colectiva, abren a dicha participación, especialmente con la presencia de representación o de afiliación en la empresa o adaptaciones e innovaciones organizativas. Las hipótesis de </w:t>
      </w:r>
      <w:proofErr w:type="spellStart"/>
      <w:r w:rsidRPr="00FE4D46">
        <w:rPr>
          <w:rFonts w:ascii="Verdana" w:hAnsi="Verdana"/>
        </w:rPr>
        <w:t>Gumbrell-McCormick</w:t>
      </w:r>
      <w:proofErr w:type="spellEnd"/>
      <w:r w:rsidRPr="00FE4D46">
        <w:rPr>
          <w:rFonts w:ascii="Verdana" w:hAnsi="Verdana"/>
        </w:rPr>
        <w:t xml:space="preserve"> y </w:t>
      </w:r>
      <w:proofErr w:type="spellStart"/>
      <w:r w:rsidRPr="00FE4D46">
        <w:rPr>
          <w:rFonts w:ascii="Verdana" w:hAnsi="Verdana"/>
        </w:rPr>
        <w:t>Hyman</w:t>
      </w:r>
      <w:proofErr w:type="spellEnd"/>
      <w:r w:rsidRPr="00FE4D46">
        <w:rPr>
          <w:rFonts w:ascii="Verdana" w:hAnsi="Verdana"/>
        </w:rPr>
        <w:t xml:space="preserve"> (2006), </w:t>
      </w:r>
      <w:proofErr w:type="spellStart"/>
      <w:r w:rsidRPr="00FE4D46">
        <w:rPr>
          <w:rFonts w:ascii="Verdana" w:hAnsi="Verdana"/>
        </w:rPr>
        <w:t>Rigby</w:t>
      </w:r>
      <w:proofErr w:type="spellEnd"/>
      <w:r w:rsidRPr="00FE4D46">
        <w:rPr>
          <w:rFonts w:ascii="Verdana" w:hAnsi="Verdana"/>
        </w:rPr>
        <w:t xml:space="preserve"> et al. (2009) o </w:t>
      </w:r>
      <w:proofErr w:type="spellStart"/>
      <w:r w:rsidRPr="00FE4D46">
        <w:rPr>
          <w:rFonts w:ascii="Verdana" w:hAnsi="Verdana"/>
        </w:rPr>
        <w:t>Freeman</w:t>
      </w:r>
      <w:proofErr w:type="spellEnd"/>
      <w:r w:rsidRPr="00FE4D46">
        <w:rPr>
          <w:rFonts w:ascii="Verdana" w:hAnsi="Verdana"/>
        </w:rPr>
        <w:t xml:space="preserve"> (2007), sobre la complementariedad de las formas de representación y la combinación de factores externos e internos a la misma, orientan este componente de la investigación.</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Asimismo, nos aproximaremos a la realidad de las elecciones sindicales en España desplegando diferentes dimensiones de contexto: dimensión y dinámica de la empresa, sectores económicos (federaciones como aproximación), centros de trabajo; y aquí es útil la orientación proporcionada por los resultados, entre otros, de </w:t>
      </w:r>
      <w:proofErr w:type="spellStart"/>
      <w:r w:rsidRPr="00FE4D46">
        <w:rPr>
          <w:rFonts w:ascii="Verdana" w:hAnsi="Verdana"/>
        </w:rPr>
        <w:t>Farber</w:t>
      </w:r>
      <w:proofErr w:type="spellEnd"/>
      <w:r w:rsidRPr="00FE4D46">
        <w:rPr>
          <w:rFonts w:ascii="Verdana" w:hAnsi="Verdana"/>
        </w:rPr>
        <w:t xml:space="preserve"> (2001) y </w:t>
      </w:r>
      <w:proofErr w:type="spellStart"/>
      <w:r w:rsidRPr="00FE4D46">
        <w:rPr>
          <w:rFonts w:ascii="Verdana" w:hAnsi="Verdana" w:cs="Calibri"/>
          <w:bCs/>
        </w:rPr>
        <w:t>Charlwood</w:t>
      </w:r>
      <w:proofErr w:type="spellEnd"/>
      <w:r w:rsidRPr="00FE4D46">
        <w:rPr>
          <w:rFonts w:ascii="Verdana" w:hAnsi="Verdana" w:cs="Calibri"/>
          <w:bCs/>
        </w:rPr>
        <w:t xml:space="preserve"> y </w:t>
      </w:r>
      <w:proofErr w:type="spellStart"/>
      <w:r w:rsidRPr="00FE4D46">
        <w:rPr>
          <w:rFonts w:ascii="Verdana" w:hAnsi="Verdana" w:cs="Calibri"/>
          <w:bCs/>
        </w:rPr>
        <w:t>Forth</w:t>
      </w:r>
      <w:proofErr w:type="spellEnd"/>
      <w:r w:rsidRPr="00FE4D46">
        <w:rPr>
          <w:rFonts w:ascii="Verdana" w:hAnsi="Verdana" w:cs="Calibri"/>
          <w:bCs/>
        </w:rPr>
        <w:t xml:space="preserve"> (2011).</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Pero también tendremos en cuenta la representación de los asalariados españoles por medio de las opciones sindicales presentes (o en competición) y, también, a través de la afiliación a CCOO. En todo caso, las oportunidades ofrecidas por los sindicatos introducen variaciones a la influencia que ejercen los factores estructurales, aunque es evidente que existe una interacción entre éstos con las organizaciones de los trabajadores, más que un estímulo de sentido único. Aquí son clave las sugerencias de Taras y </w:t>
      </w:r>
      <w:proofErr w:type="spellStart"/>
      <w:r w:rsidRPr="00FE4D46">
        <w:rPr>
          <w:rFonts w:ascii="Verdana" w:hAnsi="Verdana"/>
        </w:rPr>
        <w:t>Kaufman</w:t>
      </w:r>
      <w:proofErr w:type="spellEnd"/>
      <w:r w:rsidRPr="00FE4D46">
        <w:rPr>
          <w:rFonts w:ascii="Verdana" w:hAnsi="Verdana"/>
        </w:rPr>
        <w:t xml:space="preserve"> (2006), </w:t>
      </w:r>
      <w:proofErr w:type="spellStart"/>
      <w:r w:rsidRPr="00FE4D46">
        <w:rPr>
          <w:rFonts w:ascii="Verdana" w:hAnsi="Verdana" w:cs="Calibri"/>
          <w:bCs/>
        </w:rPr>
        <w:t>Charlwood</w:t>
      </w:r>
      <w:proofErr w:type="spellEnd"/>
      <w:r w:rsidRPr="00FE4D46">
        <w:rPr>
          <w:rFonts w:ascii="Verdana" w:hAnsi="Verdana" w:cs="Calibri"/>
          <w:bCs/>
        </w:rPr>
        <w:t xml:space="preserve"> y </w:t>
      </w:r>
      <w:proofErr w:type="spellStart"/>
      <w:r w:rsidRPr="00FE4D46">
        <w:rPr>
          <w:rFonts w:ascii="Verdana" w:hAnsi="Verdana" w:cs="Calibri"/>
          <w:bCs/>
        </w:rPr>
        <w:t>Forth</w:t>
      </w:r>
      <w:proofErr w:type="spellEnd"/>
      <w:r w:rsidRPr="00FE4D46">
        <w:rPr>
          <w:rFonts w:ascii="Verdana" w:hAnsi="Verdana" w:cs="Calibri"/>
          <w:bCs/>
        </w:rPr>
        <w:t xml:space="preserve"> (2011) o </w:t>
      </w:r>
      <w:proofErr w:type="spellStart"/>
      <w:r w:rsidRPr="00FE4D46">
        <w:rPr>
          <w:rFonts w:ascii="Verdana" w:hAnsi="Verdana" w:cs="Calibri"/>
          <w:bCs/>
        </w:rPr>
        <w:t>Artus</w:t>
      </w:r>
      <w:proofErr w:type="spellEnd"/>
      <w:r w:rsidRPr="00FE4D46">
        <w:rPr>
          <w:rFonts w:ascii="Verdana" w:hAnsi="Verdana" w:cs="Calibri"/>
          <w:bCs/>
        </w:rPr>
        <w:t xml:space="preserve"> (2013).</w:t>
      </w:r>
    </w:p>
    <w:p w:rsidR="00FE4D46" w:rsidRDefault="00FE4D46" w:rsidP="00FE4D46">
      <w:pPr>
        <w:spacing w:after="0" w:line="240" w:lineRule="auto"/>
        <w:jc w:val="both"/>
        <w:rPr>
          <w:rFonts w:ascii="Verdana" w:hAnsi="Verdana"/>
        </w:rPr>
      </w:pPr>
    </w:p>
    <w:p w:rsidR="00FE4D46" w:rsidRPr="00FE4D46" w:rsidRDefault="00FE4D46" w:rsidP="00FE4D46">
      <w:pPr>
        <w:spacing w:after="0" w:line="240" w:lineRule="auto"/>
        <w:jc w:val="both"/>
        <w:rPr>
          <w:rFonts w:ascii="Verdana" w:hAnsi="Verdana"/>
        </w:rPr>
      </w:pPr>
      <w:r w:rsidRPr="00FE4D46">
        <w:rPr>
          <w:rFonts w:ascii="Verdana" w:hAnsi="Verdana"/>
        </w:rPr>
        <w:t xml:space="preserve">Por último, se tendrá en cuenta también, y así se destaca en el esquema, la existencia de factores transversales, en los que estructura, propensión individual y oportunidades organizativas pueden o no coincidir, contribuyendo a la variación de los resultados: el territorio (CCAA) y las variables demográficas (sexo, edad). Los resultados de </w:t>
      </w:r>
      <w:proofErr w:type="spellStart"/>
      <w:r w:rsidRPr="00FE4D46">
        <w:rPr>
          <w:rFonts w:ascii="Verdana" w:hAnsi="Verdana"/>
        </w:rPr>
        <w:t>Blaschke</w:t>
      </w:r>
      <w:proofErr w:type="spellEnd"/>
      <w:r w:rsidRPr="00FE4D46">
        <w:rPr>
          <w:rFonts w:ascii="Verdana" w:hAnsi="Verdana"/>
        </w:rPr>
        <w:t xml:space="preserve"> (2011), Le </w:t>
      </w:r>
      <w:proofErr w:type="spellStart"/>
      <w:r w:rsidRPr="00FE4D46">
        <w:rPr>
          <w:rFonts w:ascii="Verdana" w:hAnsi="Verdana"/>
        </w:rPr>
        <w:t>Capitaine</w:t>
      </w:r>
      <w:proofErr w:type="spellEnd"/>
      <w:r w:rsidRPr="00FE4D46">
        <w:rPr>
          <w:rFonts w:ascii="Verdana" w:hAnsi="Verdana"/>
        </w:rPr>
        <w:t xml:space="preserve"> et al. (2011) o </w:t>
      </w:r>
      <w:proofErr w:type="spellStart"/>
      <w:r w:rsidRPr="00FE4D46">
        <w:rPr>
          <w:rFonts w:ascii="Verdana" w:hAnsi="Verdana"/>
        </w:rPr>
        <w:t>Artus</w:t>
      </w:r>
      <w:proofErr w:type="spellEnd"/>
      <w:r w:rsidRPr="00FE4D46">
        <w:rPr>
          <w:rFonts w:ascii="Verdana" w:hAnsi="Verdana"/>
        </w:rPr>
        <w:t xml:space="preserve"> (2013), servirán para contrastar nuestros hallazgos.</w:t>
      </w:r>
    </w:p>
    <w:p w:rsidR="00FE4D46" w:rsidRDefault="00FE4D46" w:rsidP="000E1970">
      <w:pPr>
        <w:spacing w:after="0" w:line="240" w:lineRule="auto"/>
        <w:jc w:val="both"/>
        <w:rPr>
          <w:rFonts w:ascii="Verdana" w:hAnsi="Verdana"/>
        </w:rPr>
      </w:pPr>
    </w:p>
    <w:p w:rsidR="00BF4F46" w:rsidRDefault="00BF4F46" w:rsidP="000E1970">
      <w:pPr>
        <w:spacing w:after="0" w:line="240" w:lineRule="auto"/>
        <w:jc w:val="both"/>
        <w:rPr>
          <w:rFonts w:ascii="Verdana" w:hAnsi="Verdana"/>
        </w:rPr>
      </w:pPr>
    </w:p>
    <w:p w:rsidR="00BF4F46" w:rsidRDefault="00BF4F46" w:rsidP="000E1970">
      <w:pPr>
        <w:spacing w:after="0" w:line="240" w:lineRule="auto"/>
        <w:jc w:val="both"/>
        <w:rPr>
          <w:rFonts w:ascii="Verdana" w:hAnsi="Verdana"/>
        </w:rPr>
      </w:pPr>
      <w:r>
        <w:rPr>
          <w:rFonts w:ascii="Verdana" w:hAnsi="Verdana"/>
          <w:b/>
        </w:rPr>
        <w:t>II.- LA REPRESENTACIÓN SIONDICAL DE LOS TRABAJADORES EN LA UNIÓN EUROPEA</w:t>
      </w:r>
    </w:p>
    <w:p w:rsidR="00BF4F46" w:rsidRDefault="00BF4F46" w:rsidP="000E1970">
      <w:pPr>
        <w:spacing w:after="0" w:line="240" w:lineRule="auto"/>
        <w:jc w:val="both"/>
        <w:rPr>
          <w:rFonts w:ascii="Verdana" w:hAnsi="Verdana"/>
        </w:rPr>
      </w:pPr>
    </w:p>
    <w:p w:rsidR="00D509BC" w:rsidRDefault="00D509BC" w:rsidP="00D509BC">
      <w:pPr>
        <w:jc w:val="both"/>
      </w:pPr>
    </w:p>
    <w:p w:rsidR="00D509BC" w:rsidRPr="00D509BC" w:rsidRDefault="00D509BC" w:rsidP="00D509BC">
      <w:pPr>
        <w:spacing w:after="0" w:line="240" w:lineRule="auto"/>
        <w:jc w:val="both"/>
        <w:rPr>
          <w:rFonts w:ascii="Verdana" w:hAnsi="Verdana"/>
        </w:rPr>
      </w:pPr>
      <w:r w:rsidRPr="00D509BC">
        <w:rPr>
          <w:rFonts w:ascii="Verdana" w:hAnsi="Verdana"/>
        </w:rPr>
        <w:t xml:space="preserve">La participación y representación de los trabajadores en las empresas, su regulación legal e intervención real, constituye uno de los rasgos definitorios del </w:t>
      </w:r>
      <w:r w:rsidRPr="00D509BC">
        <w:rPr>
          <w:rFonts w:ascii="Verdana" w:hAnsi="Verdana"/>
          <w:i/>
        </w:rPr>
        <w:t xml:space="preserve">modelo social europeo, </w:t>
      </w:r>
      <w:r w:rsidRPr="00D509BC">
        <w:rPr>
          <w:rFonts w:ascii="Verdana" w:hAnsi="Verdana"/>
        </w:rPr>
        <w:t xml:space="preserve">concretándose en cada país en formatos institucionales, estructuras organizativas y tasas de cobertura diferentes, como resultado del desarrollo de sus respectivos sistemas de relaciones laborales. </w:t>
      </w:r>
    </w:p>
    <w:p w:rsidR="00D509BC" w:rsidRPr="00D509BC" w:rsidRDefault="00D509BC" w:rsidP="00D509BC">
      <w:pPr>
        <w:spacing w:after="0" w:line="240" w:lineRule="auto"/>
        <w:jc w:val="both"/>
        <w:rPr>
          <w:rFonts w:ascii="Verdana" w:hAnsi="Verdana"/>
        </w:rPr>
      </w:pPr>
      <w:r w:rsidRPr="00D509BC">
        <w:rPr>
          <w:rFonts w:ascii="Verdana" w:hAnsi="Verdana"/>
        </w:rPr>
        <w:lastRenderedPageBreak/>
        <w:t>Los procesos de participación se han configurado históricamente conforme a dos modelos básicos: presencia</w:t>
      </w:r>
      <w:r w:rsidRPr="00D509BC">
        <w:rPr>
          <w:rFonts w:ascii="Verdana" w:hAnsi="Verdana"/>
          <w:i/>
        </w:rPr>
        <w:t xml:space="preserve"> </w:t>
      </w:r>
      <w:proofErr w:type="spellStart"/>
      <w:r w:rsidRPr="00D509BC">
        <w:rPr>
          <w:rFonts w:ascii="Verdana" w:hAnsi="Verdana"/>
        </w:rPr>
        <w:t>afiliativa</w:t>
      </w:r>
      <w:proofErr w:type="spellEnd"/>
      <w:r w:rsidRPr="00D509BC">
        <w:rPr>
          <w:rFonts w:ascii="Verdana" w:hAnsi="Verdana"/>
        </w:rPr>
        <w:t xml:space="preserve"> e intervención </w:t>
      </w:r>
      <w:r w:rsidRPr="00D509BC">
        <w:rPr>
          <w:rFonts w:ascii="Verdana" w:hAnsi="Verdana"/>
          <w:i/>
        </w:rPr>
        <w:t xml:space="preserve">directa </w:t>
      </w:r>
      <w:r w:rsidRPr="00D509BC">
        <w:rPr>
          <w:rFonts w:ascii="Verdana" w:hAnsi="Verdana"/>
        </w:rPr>
        <w:t xml:space="preserve">de los trabajadores en la empresa a través de su  sindicato, o mediante mecanismos de </w:t>
      </w:r>
      <w:r w:rsidRPr="00D509BC">
        <w:rPr>
          <w:rFonts w:ascii="Verdana" w:hAnsi="Verdana"/>
          <w:i/>
        </w:rPr>
        <w:t xml:space="preserve">audiencia </w:t>
      </w:r>
      <w:r w:rsidRPr="00D509BC">
        <w:rPr>
          <w:rFonts w:ascii="Verdana" w:hAnsi="Verdana"/>
        </w:rPr>
        <w:t xml:space="preserve">electoral e intervención </w:t>
      </w:r>
      <w:r w:rsidRPr="00D509BC">
        <w:rPr>
          <w:rFonts w:ascii="Verdana" w:hAnsi="Verdana"/>
          <w:i/>
        </w:rPr>
        <w:t>indirecta</w:t>
      </w:r>
      <w:r w:rsidRPr="00D509BC">
        <w:rPr>
          <w:rFonts w:ascii="Verdana" w:hAnsi="Verdana"/>
        </w:rPr>
        <w:t xml:space="preserve">, con la elección delegados y comités de empresa por el conjunto de la plantilla. </w:t>
      </w:r>
    </w:p>
    <w:p w:rsidR="00D509BC" w:rsidRDefault="00D509BC" w:rsidP="00D509BC">
      <w:pPr>
        <w:spacing w:after="0" w:line="240" w:lineRule="auto"/>
        <w:jc w:val="both"/>
        <w:rPr>
          <w:rFonts w:ascii="Verdana" w:hAnsi="Verdana"/>
        </w:rPr>
      </w:pPr>
    </w:p>
    <w:p w:rsidR="00D509BC" w:rsidRPr="00D509BC" w:rsidRDefault="00D509BC" w:rsidP="00D509BC">
      <w:pPr>
        <w:spacing w:after="0" w:line="240" w:lineRule="auto"/>
        <w:jc w:val="both"/>
        <w:rPr>
          <w:rFonts w:ascii="Verdana" w:hAnsi="Verdana"/>
        </w:rPr>
      </w:pPr>
      <w:r w:rsidRPr="00D509BC">
        <w:rPr>
          <w:rFonts w:ascii="Verdana" w:hAnsi="Verdana"/>
        </w:rPr>
        <w:t xml:space="preserve">Con todo, en la mayor parte de los países europeos se han desarrollado modelos mixtos que combinan, de forma desigual, ambas vías de representación, lo que introduce una mayor complejidad en la tipología resultante, en función de que opere un </w:t>
      </w:r>
      <w:r w:rsidRPr="00D509BC">
        <w:rPr>
          <w:rFonts w:ascii="Verdana" w:hAnsi="Verdana"/>
          <w:i/>
        </w:rPr>
        <w:t>canal único</w:t>
      </w:r>
      <w:r w:rsidRPr="00D509BC">
        <w:rPr>
          <w:rFonts w:ascii="Verdana" w:hAnsi="Verdana"/>
        </w:rPr>
        <w:t xml:space="preserve"> de intervención (bien sea el sindicato o el comité) o lo hagan ambos (</w:t>
      </w:r>
      <w:r w:rsidRPr="00D509BC">
        <w:rPr>
          <w:rFonts w:ascii="Verdana" w:hAnsi="Verdana"/>
          <w:i/>
        </w:rPr>
        <w:t>doble canal</w:t>
      </w:r>
      <w:r w:rsidRPr="00D509BC">
        <w:rPr>
          <w:rFonts w:ascii="Verdana" w:hAnsi="Verdana"/>
        </w:rPr>
        <w:t xml:space="preserve">) y, aun en estos casos, con prevalencia de uno u otro. </w:t>
      </w:r>
    </w:p>
    <w:p w:rsidR="00D509BC" w:rsidRDefault="00D509BC" w:rsidP="00D509BC">
      <w:pPr>
        <w:spacing w:after="0" w:line="240" w:lineRule="auto"/>
        <w:jc w:val="both"/>
        <w:rPr>
          <w:rFonts w:ascii="Verdana" w:hAnsi="Verdana"/>
        </w:rPr>
      </w:pPr>
    </w:p>
    <w:p w:rsidR="00D509BC" w:rsidRPr="00D509BC" w:rsidRDefault="00D509BC" w:rsidP="00D509BC">
      <w:pPr>
        <w:spacing w:after="0" w:line="240" w:lineRule="auto"/>
        <w:jc w:val="both"/>
        <w:rPr>
          <w:rFonts w:ascii="Verdana" w:hAnsi="Verdana"/>
        </w:rPr>
      </w:pPr>
      <w:r w:rsidRPr="00D509BC">
        <w:rPr>
          <w:rFonts w:ascii="Verdana" w:hAnsi="Verdana"/>
        </w:rPr>
        <w:t>Se trata, en todos los casos, de articular mecanismos de agregación y representación de los  intereses de los trabajadores para su defensa, promoción y negociación con la contraparte (las empresas), al tiempo que se acredita, desde la base, la representatividad de los sindicatos para su intervención legítima en el marco supra-empresarial de las relaciones laborales, la negociación colectiva sectorial y la participación institucional.</w:t>
      </w:r>
    </w:p>
    <w:p w:rsidR="00D509BC" w:rsidRDefault="00D509BC" w:rsidP="00D509BC">
      <w:pPr>
        <w:suppressAutoHyphens/>
        <w:spacing w:after="0" w:line="240" w:lineRule="auto"/>
        <w:jc w:val="both"/>
        <w:rPr>
          <w:rFonts w:ascii="Verdana" w:hAnsi="Verdana" w:cs="Arial"/>
        </w:rPr>
      </w:pPr>
    </w:p>
    <w:p w:rsidR="00D509BC" w:rsidRPr="00D509BC" w:rsidRDefault="00D509BC" w:rsidP="00D509BC">
      <w:pPr>
        <w:suppressAutoHyphens/>
        <w:spacing w:after="0" w:line="240" w:lineRule="auto"/>
        <w:jc w:val="both"/>
        <w:rPr>
          <w:rFonts w:ascii="Verdana" w:hAnsi="Verdana"/>
        </w:rPr>
      </w:pPr>
      <w:r w:rsidRPr="00D509BC">
        <w:rPr>
          <w:rFonts w:ascii="Verdana" w:hAnsi="Verdana" w:cs="Arial"/>
        </w:rPr>
        <w:t>En la última década, la aprobación por las instancias comunitarias y posterior traslación a las legislaciones nacionales de la Directiva 2002/14/CE</w:t>
      </w:r>
      <w:r w:rsidRPr="00D509BC">
        <w:rPr>
          <w:rStyle w:val="Refdenotaalpie"/>
          <w:rFonts w:ascii="Verdana" w:hAnsi="Verdana" w:cs="Arial"/>
        </w:rPr>
        <w:footnoteReference w:id="23"/>
      </w:r>
      <w:r w:rsidRPr="00D509BC">
        <w:rPr>
          <w:rFonts w:ascii="Verdana" w:hAnsi="Verdana" w:cs="Arial"/>
        </w:rPr>
        <w:t>, reguladora de los derechos de información y consulta, ha tenido como resultado un impulso a las estrategias de participación y un aumento incluso de la cobertura de las instituciones desarrolladas al efecto por los diferentes modelos de relaciones laborales</w:t>
      </w:r>
      <w:r w:rsidRPr="00D509BC">
        <w:rPr>
          <w:rStyle w:val="Refdenotaalpie"/>
          <w:rFonts w:ascii="Verdana" w:hAnsi="Verdana" w:cs="Arial"/>
        </w:rPr>
        <w:footnoteReference w:id="24"/>
      </w:r>
      <w:r w:rsidRPr="00D509BC">
        <w:rPr>
          <w:rFonts w:ascii="Verdana" w:hAnsi="Verdana" w:cs="Arial"/>
        </w:rPr>
        <w:t xml:space="preserve"> (canal doble o único, cobertura universal o restringida), que  amplían notablemente las tasas de afiliación sindical ensanchando con ello su área de influencia a través de la negociación colectiva (cuya cobertura media alcanza casi a los dos tercios de los trabajadores europeos) y otras vías de interlocución e intervención social.</w:t>
      </w:r>
      <w:r w:rsidRPr="00D509BC">
        <w:rPr>
          <w:rFonts w:ascii="Verdana" w:hAnsi="Verdana"/>
        </w:rPr>
        <w:t xml:space="preserve"> </w:t>
      </w:r>
    </w:p>
    <w:p w:rsidR="00D509BC" w:rsidRDefault="00D509BC" w:rsidP="00D509BC">
      <w:pPr>
        <w:suppressAutoHyphens/>
        <w:spacing w:after="0" w:line="240" w:lineRule="auto"/>
        <w:jc w:val="both"/>
        <w:rPr>
          <w:rFonts w:ascii="Verdana" w:hAnsi="Verdana" w:cs="Arial"/>
        </w:rPr>
      </w:pPr>
    </w:p>
    <w:p w:rsidR="00D509BC" w:rsidRPr="00D509BC" w:rsidRDefault="00D509BC" w:rsidP="00D509BC">
      <w:pPr>
        <w:suppressAutoHyphens/>
        <w:spacing w:after="0" w:line="240" w:lineRule="auto"/>
        <w:jc w:val="both"/>
        <w:rPr>
          <w:rFonts w:ascii="Verdana" w:hAnsi="Verdana"/>
        </w:rPr>
      </w:pPr>
      <w:r w:rsidRPr="00D509BC">
        <w:rPr>
          <w:rFonts w:ascii="Verdana" w:hAnsi="Verdana" w:cs="Arial"/>
        </w:rPr>
        <w:t>Según un exhaustivo estudio publicado por el Instituto Sindical Europeo (ETUI)</w:t>
      </w:r>
      <w:r w:rsidRPr="00D509BC">
        <w:rPr>
          <w:rStyle w:val="Refdenotaalpie"/>
          <w:rFonts w:ascii="Verdana" w:hAnsi="Verdana" w:cs="Arial"/>
        </w:rPr>
        <w:footnoteReference w:id="25"/>
      </w:r>
      <w:r w:rsidRPr="00D509BC">
        <w:rPr>
          <w:rFonts w:ascii="Verdana" w:hAnsi="Verdana" w:cs="Arial"/>
        </w:rPr>
        <w:t>, en la actual UE-28 existen diferentes modelos</w:t>
      </w:r>
      <w:r w:rsidRPr="00D509BC">
        <w:rPr>
          <w:rFonts w:ascii="Verdana" w:hAnsi="Verdana"/>
        </w:rPr>
        <w:t xml:space="preserve"> de representación </w:t>
      </w:r>
      <w:r w:rsidRPr="00D509BC">
        <w:rPr>
          <w:rFonts w:ascii="Verdana" w:hAnsi="Verdana"/>
        </w:rPr>
        <w:lastRenderedPageBreak/>
        <w:t xml:space="preserve">de los trabajadores/as en las empresas (vid. </w:t>
      </w:r>
      <w:r w:rsidRPr="00D509BC">
        <w:rPr>
          <w:rFonts w:ascii="Verdana" w:hAnsi="Verdana"/>
          <w:i/>
        </w:rPr>
        <w:t>figura 3.1)</w:t>
      </w:r>
      <w:r w:rsidRPr="00D509BC">
        <w:rPr>
          <w:rFonts w:ascii="Verdana" w:hAnsi="Verdana"/>
        </w:rPr>
        <w:t>, que sintéticamente pueden clasificarse como sigue:</w:t>
      </w:r>
    </w:p>
    <w:p w:rsidR="00D509BC" w:rsidRPr="00D509BC" w:rsidRDefault="00D509BC" w:rsidP="00D509BC">
      <w:pPr>
        <w:numPr>
          <w:ilvl w:val="0"/>
          <w:numId w:val="31"/>
        </w:numPr>
        <w:suppressAutoHyphens/>
        <w:spacing w:after="0" w:line="240" w:lineRule="auto"/>
        <w:jc w:val="both"/>
        <w:rPr>
          <w:rFonts w:ascii="Verdana" w:hAnsi="Verdana"/>
        </w:rPr>
      </w:pPr>
      <w:r w:rsidRPr="00D509BC">
        <w:rPr>
          <w:rFonts w:ascii="Verdana" w:hAnsi="Verdana"/>
          <w:i/>
        </w:rPr>
        <w:t xml:space="preserve">canal único-Comité de Empresa: </w:t>
      </w:r>
      <w:r w:rsidRPr="00D509BC">
        <w:rPr>
          <w:rFonts w:ascii="Verdana" w:hAnsi="Verdana"/>
        </w:rPr>
        <w:t>en cuatro países (Austria, Alemania, Luxemburgo y Países Bajos) los comités de empresa elegidos por todos los trabajadores/as constituyen la forma de representación habitual en la empresa, no previéndose la intervención directa de las estructuras sindicales que, sin embargo, asumen la interlocución laboral a nivel sectorial y territorial</w:t>
      </w:r>
    </w:p>
    <w:p w:rsidR="00D509BC" w:rsidRPr="00D509BC" w:rsidRDefault="00D509BC" w:rsidP="00D509BC">
      <w:pPr>
        <w:numPr>
          <w:ilvl w:val="0"/>
          <w:numId w:val="31"/>
        </w:numPr>
        <w:suppressAutoHyphens/>
        <w:spacing w:after="0" w:line="240" w:lineRule="auto"/>
        <w:jc w:val="both"/>
        <w:rPr>
          <w:rFonts w:ascii="Verdana" w:hAnsi="Verdana"/>
        </w:rPr>
      </w:pPr>
      <w:r w:rsidRPr="00D509BC">
        <w:rPr>
          <w:rFonts w:ascii="Verdana" w:hAnsi="Verdana"/>
          <w:i/>
        </w:rPr>
        <w:t>canal único-Sindicato:</w:t>
      </w:r>
      <w:r w:rsidRPr="00D509BC">
        <w:rPr>
          <w:rFonts w:ascii="Verdana" w:hAnsi="Verdana"/>
        </w:rPr>
        <w:t xml:space="preserve"> en ocho estados de la Unión (Dinamarca, Finlandia, Suecia, Italia, Chipre, Malta, Rumanía y Lituania), la vía de representación es el sindicato, a través de sus secciones organizadas en las empresas que, habida cuenta de las altas tasas de afiliación en la mayoría de los países de este grupo, no requieren de mecanismos electorales para el desarrollo de sus funciones. En aplicación de la Directiva 2002/14, se han introducido medidas excepcionales que permiten la elección de representantes por parte de los trabajadores no afiliados.</w:t>
      </w:r>
    </w:p>
    <w:p w:rsidR="00D509BC" w:rsidRPr="00D509BC" w:rsidRDefault="00D509BC" w:rsidP="00D509BC">
      <w:pPr>
        <w:spacing w:after="0" w:line="240" w:lineRule="auto"/>
        <w:jc w:val="both"/>
        <w:rPr>
          <w:rFonts w:ascii="Verdana" w:hAnsi="Verdana"/>
        </w:rPr>
      </w:pPr>
    </w:p>
    <w:p w:rsidR="00D509BC" w:rsidRPr="00D509BC" w:rsidRDefault="00D509BC" w:rsidP="00D509BC">
      <w:pPr>
        <w:spacing w:after="0" w:line="240" w:lineRule="auto"/>
        <w:jc w:val="center"/>
        <w:rPr>
          <w:rFonts w:ascii="Verdana" w:hAnsi="Verdana"/>
        </w:rPr>
      </w:pPr>
      <w:r w:rsidRPr="00D509BC">
        <w:rPr>
          <w:rFonts w:ascii="Verdana" w:hAnsi="Verdana"/>
        </w:rPr>
        <w:t>Figura 3.1. Vías de representación de los trabajadores en la empresa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D509BC" w:rsidRPr="00D509BC" w:rsidTr="00D509BC">
        <w:tc>
          <w:tcPr>
            <w:tcW w:w="4322" w:type="dxa"/>
            <w:shd w:val="clear" w:color="auto" w:fill="D9D9D9"/>
          </w:tcPr>
          <w:p w:rsidR="00D509BC" w:rsidRPr="00D509BC" w:rsidRDefault="00D509BC" w:rsidP="00D509BC">
            <w:pPr>
              <w:spacing w:after="0" w:line="240" w:lineRule="auto"/>
              <w:jc w:val="both"/>
              <w:rPr>
                <w:rFonts w:ascii="Verdana" w:hAnsi="Verdana"/>
                <w:sz w:val="20"/>
                <w:szCs w:val="20"/>
              </w:rPr>
            </w:pPr>
            <w:r w:rsidRPr="00D509BC">
              <w:rPr>
                <w:rFonts w:ascii="Verdana" w:hAnsi="Verdana"/>
                <w:sz w:val="20"/>
                <w:szCs w:val="20"/>
              </w:rPr>
              <w:t xml:space="preserve">1.- Canal único: </w:t>
            </w:r>
          </w:p>
          <w:p w:rsidR="00D509BC" w:rsidRPr="00D509BC" w:rsidRDefault="00D509BC" w:rsidP="00D509BC">
            <w:pPr>
              <w:spacing w:after="0" w:line="240" w:lineRule="auto"/>
              <w:jc w:val="both"/>
              <w:rPr>
                <w:rFonts w:ascii="Verdana" w:hAnsi="Verdana"/>
                <w:sz w:val="20"/>
                <w:szCs w:val="20"/>
              </w:rPr>
            </w:pPr>
            <w:r w:rsidRPr="00D509BC">
              <w:rPr>
                <w:rFonts w:ascii="Verdana" w:hAnsi="Verdana"/>
                <w:sz w:val="20"/>
                <w:szCs w:val="20"/>
              </w:rPr>
              <w:t>Comité de Empresa</w:t>
            </w:r>
          </w:p>
        </w:tc>
        <w:tc>
          <w:tcPr>
            <w:tcW w:w="4322" w:type="dxa"/>
            <w:shd w:val="clear" w:color="auto" w:fill="D9D9D9"/>
          </w:tcPr>
          <w:p w:rsidR="00D509BC" w:rsidRPr="00D509BC" w:rsidRDefault="00D509BC" w:rsidP="00D509BC">
            <w:pPr>
              <w:spacing w:after="0" w:line="240" w:lineRule="auto"/>
              <w:jc w:val="both"/>
              <w:rPr>
                <w:rFonts w:ascii="Verdana" w:hAnsi="Verdana"/>
                <w:sz w:val="20"/>
                <w:szCs w:val="20"/>
              </w:rPr>
            </w:pPr>
            <w:r w:rsidRPr="00D509BC">
              <w:rPr>
                <w:rFonts w:ascii="Verdana" w:hAnsi="Verdana"/>
                <w:sz w:val="20"/>
                <w:szCs w:val="20"/>
              </w:rPr>
              <w:t xml:space="preserve">3.- Doble canal: </w:t>
            </w:r>
          </w:p>
          <w:p w:rsidR="00D509BC" w:rsidRPr="00D509BC" w:rsidRDefault="00D509BC" w:rsidP="00D509BC">
            <w:pPr>
              <w:spacing w:after="0" w:line="240" w:lineRule="auto"/>
              <w:jc w:val="both"/>
              <w:rPr>
                <w:rFonts w:ascii="Verdana" w:hAnsi="Verdana"/>
                <w:sz w:val="20"/>
                <w:szCs w:val="20"/>
              </w:rPr>
            </w:pPr>
            <w:r w:rsidRPr="00D509BC">
              <w:rPr>
                <w:rFonts w:ascii="Verdana" w:hAnsi="Verdana"/>
                <w:sz w:val="20"/>
                <w:szCs w:val="20"/>
              </w:rPr>
              <w:t>prevalencia del Comité</w:t>
            </w:r>
          </w:p>
        </w:tc>
      </w:tr>
      <w:tr w:rsidR="00D509BC" w:rsidRPr="00D509BC" w:rsidTr="00D509BC">
        <w:tc>
          <w:tcPr>
            <w:tcW w:w="4322" w:type="dxa"/>
          </w:tcPr>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Alemania</w:t>
            </w:r>
          </w:p>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Austria</w:t>
            </w:r>
          </w:p>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Holanda</w:t>
            </w:r>
          </w:p>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Luxemburgo</w:t>
            </w:r>
          </w:p>
        </w:tc>
        <w:tc>
          <w:tcPr>
            <w:tcW w:w="4322" w:type="dxa"/>
          </w:tcPr>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Bélgica, España, Grecia</w:t>
            </w:r>
          </w:p>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Noruega</w:t>
            </w:r>
          </w:p>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Hungría, Polonia</w:t>
            </w:r>
          </w:p>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Eslovenia, Croacia</w:t>
            </w:r>
          </w:p>
        </w:tc>
      </w:tr>
      <w:tr w:rsidR="00D509BC" w:rsidRPr="00D509BC" w:rsidTr="00D509BC">
        <w:tc>
          <w:tcPr>
            <w:tcW w:w="4322" w:type="dxa"/>
            <w:shd w:val="clear" w:color="auto" w:fill="D9D9D9"/>
          </w:tcPr>
          <w:p w:rsidR="00D509BC" w:rsidRPr="00D509BC" w:rsidRDefault="00D509BC" w:rsidP="00D509BC">
            <w:pPr>
              <w:spacing w:after="0" w:line="240" w:lineRule="auto"/>
              <w:jc w:val="both"/>
              <w:rPr>
                <w:rFonts w:ascii="Verdana" w:hAnsi="Verdana"/>
                <w:sz w:val="20"/>
                <w:szCs w:val="20"/>
              </w:rPr>
            </w:pPr>
            <w:r w:rsidRPr="00D509BC">
              <w:rPr>
                <w:rFonts w:ascii="Verdana" w:hAnsi="Verdana"/>
                <w:sz w:val="20"/>
                <w:szCs w:val="20"/>
              </w:rPr>
              <w:t xml:space="preserve">2.- Canal único: </w:t>
            </w:r>
          </w:p>
          <w:p w:rsidR="00D509BC" w:rsidRPr="00D509BC" w:rsidRDefault="00D509BC" w:rsidP="00D509BC">
            <w:pPr>
              <w:spacing w:after="0" w:line="240" w:lineRule="auto"/>
              <w:jc w:val="both"/>
              <w:rPr>
                <w:rFonts w:ascii="Verdana" w:hAnsi="Verdana"/>
                <w:sz w:val="20"/>
                <w:szCs w:val="20"/>
              </w:rPr>
            </w:pPr>
            <w:r w:rsidRPr="00D509BC">
              <w:rPr>
                <w:rFonts w:ascii="Verdana" w:hAnsi="Verdana"/>
                <w:sz w:val="20"/>
                <w:szCs w:val="20"/>
              </w:rPr>
              <w:t>Sindicato</w:t>
            </w:r>
          </w:p>
        </w:tc>
        <w:tc>
          <w:tcPr>
            <w:tcW w:w="4322" w:type="dxa"/>
            <w:shd w:val="clear" w:color="auto" w:fill="D9D9D9"/>
          </w:tcPr>
          <w:p w:rsidR="00D509BC" w:rsidRPr="00D509BC" w:rsidRDefault="00D509BC" w:rsidP="00D509BC">
            <w:pPr>
              <w:spacing w:after="0" w:line="240" w:lineRule="auto"/>
              <w:jc w:val="both"/>
              <w:rPr>
                <w:rFonts w:ascii="Verdana" w:hAnsi="Verdana"/>
                <w:sz w:val="20"/>
                <w:szCs w:val="20"/>
              </w:rPr>
            </w:pPr>
            <w:r w:rsidRPr="00D509BC">
              <w:rPr>
                <w:rFonts w:ascii="Verdana" w:hAnsi="Verdana"/>
                <w:sz w:val="20"/>
                <w:szCs w:val="20"/>
              </w:rPr>
              <w:t xml:space="preserve">4.- Doble canal: </w:t>
            </w:r>
          </w:p>
          <w:p w:rsidR="00D509BC" w:rsidRPr="00D509BC" w:rsidRDefault="00D509BC" w:rsidP="00D509BC">
            <w:pPr>
              <w:spacing w:after="0" w:line="240" w:lineRule="auto"/>
              <w:jc w:val="both"/>
              <w:rPr>
                <w:rFonts w:ascii="Verdana" w:hAnsi="Verdana"/>
                <w:sz w:val="20"/>
                <w:szCs w:val="20"/>
              </w:rPr>
            </w:pPr>
            <w:r w:rsidRPr="00D509BC">
              <w:rPr>
                <w:rFonts w:ascii="Verdana" w:hAnsi="Verdana"/>
                <w:sz w:val="20"/>
                <w:szCs w:val="20"/>
              </w:rPr>
              <w:t>prevalencia de la Sección Sindical</w:t>
            </w:r>
          </w:p>
        </w:tc>
      </w:tr>
      <w:tr w:rsidR="00D509BC" w:rsidRPr="00D509BC" w:rsidTr="00D509BC">
        <w:tc>
          <w:tcPr>
            <w:tcW w:w="4322" w:type="dxa"/>
          </w:tcPr>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Dinamarca, Finlandia, Suecia</w:t>
            </w:r>
          </w:p>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Italia</w:t>
            </w:r>
          </w:p>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Chipre, Malta</w:t>
            </w:r>
          </w:p>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Rumanía, Lituania</w:t>
            </w:r>
          </w:p>
        </w:tc>
        <w:tc>
          <w:tcPr>
            <w:tcW w:w="4322" w:type="dxa"/>
          </w:tcPr>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Francia, Portugal</w:t>
            </w:r>
          </w:p>
          <w:p w:rsidR="00D509BC" w:rsidRPr="00D509BC" w:rsidRDefault="00D509BC" w:rsidP="00D509BC">
            <w:pPr>
              <w:numPr>
                <w:ilvl w:val="0"/>
                <w:numId w:val="31"/>
              </w:numPr>
              <w:spacing w:after="0" w:line="240" w:lineRule="auto"/>
              <w:jc w:val="both"/>
              <w:rPr>
                <w:rFonts w:ascii="Verdana" w:hAnsi="Verdana"/>
                <w:sz w:val="20"/>
                <w:szCs w:val="20"/>
              </w:rPr>
            </w:pPr>
            <w:r w:rsidRPr="00D509BC">
              <w:rPr>
                <w:rFonts w:ascii="Verdana" w:hAnsi="Verdana"/>
                <w:sz w:val="20"/>
                <w:szCs w:val="20"/>
              </w:rPr>
              <w:t>Reino Unido, Irlanda</w:t>
            </w:r>
          </w:p>
          <w:p w:rsidR="00D509BC" w:rsidRPr="00D509BC" w:rsidRDefault="00D509BC" w:rsidP="00D509BC">
            <w:pPr>
              <w:numPr>
                <w:ilvl w:val="0"/>
                <w:numId w:val="31"/>
              </w:numPr>
              <w:spacing w:after="0" w:line="240" w:lineRule="auto"/>
              <w:jc w:val="both"/>
              <w:rPr>
                <w:rFonts w:ascii="Verdana" w:hAnsi="Verdana"/>
                <w:sz w:val="20"/>
                <w:szCs w:val="20"/>
                <w:lang w:val="it-IT"/>
              </w:rPr>
            </w:pPr>
            <w:r w:rsidRPr="00D509BC">
              <w:rPr>
                <w:rFonts w:ascii="Verdana" w:hAnsi="Verdana"/>
                <w:sz w:val="20"/>
                <w:szCs w:val="20"/>
                <w:lang w:val="it-IT"/>
              </w:rPr>
              <w:t>Eslovaquia, Chequia, Bulgaria, Estonia, Letonia</w:t>
            </w:r>
          </w:p>
        </w:tc>
      </w:tr>
    </w:tbl>
    <w:p w:rsidR="00D509BC" w:rsidRPr="00D509BC" w:rsidRDefault="00D509BC" w:rsidP="00D509BC">
      <w:pPr>
        <w:spacing w:after="0" w:line="240" w:lineRule="auto"/>
        <w:jc w:val="both"/>
        <w:rPr>
          <w:rFonts w:ascii="Verdana" w:hAnsi="Verdana"/>
          <w:lang w:val="it-IT"/>
        </w:rPr>
      </w:pPr>
    </w:p>
    <w:p w:rsidR="00D509BC" w:rsidRPr="00D509BC" w:rsidRDefault="00D509BC" w:rsidP="00D509BC">
      <w:pPr>
        <w:suppressAutoHyphens/>
        <w:spacing w:after="0" w:line="240" w:lineRule="auto"/>
        <w:jc w:val="both"/>
        <w:rPr>
          <w:rFonts w:ascii="Verdana" w:hAnsi="Verdana"/>
          <w:lang w:val="it-IT"/>
        </w:rPr>
      </w:pPr>
    </w:p>
    <w:p w:rsidR="00D509BC" w:rsidRPr="00D509BC" w:rsidRDefault="00D509BC" w:rsidP="00D509BC">
      <w:pPr>
        <w:numPr>
          <w:ilvl w:val="0"/>
          <w:numId w:val="31"/>
        </w:numPr>
        <w:suppressAutoHyphens/>
        <w:spacing w:after="0" w:line="240" w:lineRule="auto"/>
        <w:jc w:val="both"/>
        <w:rPr>
          <w:rFonts w:ascii="Verdana" w:hAnsi="Verdana"/>
        </w:rPr>
      </w:pPr>
      <w:r w:rsidRPr="00D509BC">
        <w:rPr>
          <w:rFonts w:ascii="Verdana" w:hAnsi="Verdana"/>
          <w:i/>
        </w:rPr>
        <w:t>doble canal-prevalencia de la vía electoral</w:t>
      </w:r>
      <w:r w:rsidRPr="00D509BC">
        <w:rPr>
          <w:rFonts w:ascii="Verdana" w:hAnsi="Verdana"/>
        </w:rPr>
        <w:t xml:space="preserve">: el modelo de </w:t>
      </w:r>
      <w:r w:rsidRPr="00D509BC">
        <w:rPr>
          <w:rFonts w:ascii="Verdana" w:hAnsi="Verdana"/>
          <w:i/>
        </w:rPr>
        <w:t xml:space="preserve">doble canal, </w:t>
      </w:r>
      <w:r w:rsidRPr="00D509BC">
        <w:rPr>
          <w:rFonts w:ascii="Verdana" w:hAnsi="Verdana"/>
        </w:rPr>
        <w:t xml:space="preserve"> en el que la representación de los trabajadores en la empresa puede vehicularse tanto por la vía electoral (delegados y comités) como por la </w:t>
      </w:r>
      <w:proofErr w:type="spellStart"/>
      <w:r w:rsidRPr="00D509BC">
        <w:rPr>
          <w:rFonts w:ascii="Verdana" w:hAnsi="Verdana"/>
        </w:rPr>
        <w:t>afiliativa</w:t>
      </w:r>
      <w:proofErr w:type="spellEnd"/>
      <w:r w:rsidRPr="00D509BC">
        <w:rPr>
          <w:rFonts w:ascii="Verdana" w:hAnsi="Verdana"/>
        </w:rPr>
        <w:t xml:space="preserve"> (secciones sindicales), es ampliamente mayoritario en la UE, si bien se registra una amplia diversidad de situaciones según el grado de prevalencia de uno u otro canal. En los casos de Bélgica España, Grecia, Noruega, Hungría, Polonia, Eslovenia y Croacia es el primero de ellos el que dispone, generalmente, de mayor implantación real y cobertura legal.</w:t>
      </w:r>
    </w:p>
    <w:p w:rsidR="00D509BC" w:rsidRPr="00D509BC" w:rsidRDefault="00D509BC" w:rsidP="00D509BC">
      <w:pPr>
        <w:numPr>
          <w:ilvl w:val="0"/>
          <w:numId w:val="31"/>
        </w:numPr>
        <w:suppressAutoHyphens/>
        <w:spacing w:after="0" w:line="240" w:lineRule="auto"/>
        <w:jc w:val="both"/>
        <w:rPr>
          <w:rFonts w:ascii="Verdana" w:hAnsi="Verdana" w:cs="Arial"/>
        </w:rPr>
      </w:pPr>
      <w:r w:rsidRPr="00D509BC">
        <w:rPr>
          <w:rFonts w:ascii="Verdana" w:hAnsi="Verdana"/>
          <w:i/>
        </w:rPr>
        <w:t xml:space="preserve">doble canal-prevalencia de la vía </w:t>
      </w:r>
      <w:proofErr w:type="spellStart"/>
      <w:r w:rsidRPr="00D509BC">
        <w:rPr>
          <w:rFonts w:ascii="Verdana" w:hAnsi="Verdana"/>
          <w:i/>
        </w:rPr>
        <w:t>afiliativa</w:t>
      </w:r>
      <w:proofErr w:type="spellEnd"/>
      <w:r w:rsidRPr="00D509BC">
        <w:rPr>
          <w:rFonts w:ascii="Verdana" w:hAnsi="Verdana"/>
          <w:i/>
        </w:rPr>
        <w:t xml:space="preserve">: </w:t>
      </w:r>
      <w:r w:rsidRPr="00D509BC">
        <w:rPr>
          <w:rFonts w:ascii="Verdana" w:hAnsi="Verdana"/>
        </w:rPr>
        <w:t>en los nueve países adscritos a este modelo (Francia, Portugal, Reino Unido, Irlanda, Eslovaquia, Chequia, Bulgaria, Estonia y Letonia), el sistema de representación era tradicionalmente el del sindicato, si bien la influencia de la normativa europea reciente ha permitido desarrollar también</w:t>
      </w:r>
      <w:r w:rsidRPr="00D509BC">
        <w:rPr>
          <w:rFonts w:ascii="Verdana" w:hAnsi="Verdana" w:cs="Arial"/>
        </w:rPr>
        <w:t xml:space="preserve"> </w:t>
      </w:r>
      <w:r w:rsidRPr="00D509BC">
        <w:rPr>
          <w:rFonts w:ascii="Verdana" w:hAnsi="Verdana"/>
        </w:rPr>
        <w:t>mecanismos de audiencia electoral que, con todo, disponen de menor implantación y competencias que los delegados y secciones sindicales de empresa.</w:t>
      </w:r>
      <w:r w:rsidRPr="00D509BC">
        <w:rPr>
          <w:rFonts w:ascii="Verdana" w:hAnsi="Verdana" w:cs="Arial"/>
        </w:rPr>
        <w:t xml:space="preserve"> </w:t>
      </w:r>
    </w:p>
    <w:p w:rsidR="00D509BC" w:rsidRDefault="00D509BC" w:rsidP="00D509BC">
      <w:pPr>
        <w:suppressAutoHyphens/>
        <w:spacing w:after="0" w:line="240" w:lineRule="auto"/>
        <w:jc w:val="both"/>
        <w:rPr>
          <w:rFonts w:ascii="Verdana" w:hAnsi="Verdana" w:cs="Arial"/>
        </w:rPr>
      </w:pPr>
    </w:p>
    <w:p w:rsidR="00D509BC" w:rsidRPr="00D509BC" w:rsidRDefault="00D509BC" w:rsidP="00D509BC">
      <w:pPr>
        <w:suppressAutoHyphens/>
        <w:spacing w:after="0" w:line="240" w:lineRule="auto"/>
        <w:jc w:val="both"/>
        <w:rPr>
          <w:rFonts w:ascii="Verdana" w:hAnsi="Verdana" w:cs="Arial"/>
        </w:rPr>
      </w:pPr>
      <w:r w:rsidRPr="00D509BC">
        <w:rPr>
          <w:rFonts w:ascii="Verdana" w:hAnsi="Verdana" w:cs="Arial"/>
        </w:rPr>
        <w:t xml:space="preserve">Así pues, a través de los diferentes mecanismos de </w:t>
      </w:r>
      <w:r w:rsidRPr="00D509BC">
        <w:rPr>
          <w:rFonts w:ascii="Verdana" w:hAnsi="Verdana" w:cs="Arial"/>
          <w:i/>
        </w:rPr>
        <w:t>audiencia</w:t>
      </w:r>
      <w:r w:rsidRPr="00D509BC">
        <w:rPr>
          <w:rFonts w:ascii="Verdana" w:hAnsi="Verdana" w:cs="Arial"/>
        </w:rPr>
        <w:t xml:space="preserve"> electoral, los sindicatos europeos logran ampliar su </w:t>
      </w:r>
      <w:r w:rsidRPr="00D509BC">
        <w:rPr>
          <w:rFonts w:ascii="Verdana" w:hAnsi="Verdana" w:cs="Arial"/>
          <w:i/>
        </w:rPr>
        <w:t>presencia</w:t>
      </w:r>
      <w:r w:rsidRPr="00D509BC">
        <w:rPr>
          <w:rFonts w:ascii="Verdana" w:hAnsi="Verdana" w:cs="Arial"/>
        </w:rPr>
        <w:t xml:space="preserve"> </w:t>
      </w:r>
      <w:proofErr w:type="spellStart"/>
      <w:r w:rsidRPr="00D509BC">
        <w:rPr>
          <w:rFonts w:ascii="Verdana" w:hAnsi="Verdana" w:cs="Arial"/>
        </w:rPr>
        <w:t>afiliativa</w:t>
      </w:r>
      <w:proofErr w:type="spellEnd"/>
      <w:r w:rsidRPr="00D509BC">
        <w:rPr>
          <w:rFonts w:ascii="Verdana" w:hAnsi="Verdana" w:cs="Arial"/>
        </w:rPr>
        <w:t xml:space="preserve">, lo que les permite </w:t>
      </w:r>
      <w:r w:rsidRPr="00D509BC">
        <w:rPr>
          <w:rFonts w:ascii="Verdana" w:hAnsi="Verdana" w:cs="Arial"/>
        </w:rPr>
        <w:lastRenderedPageBreak/>
        <w:t xml:space="preserve">extender su área de </w:t>
      </w:r>
      <w:r w:rsidRPr="00D509BC">
        <w:rPr>
          <w:rFonts w:ascii="Verdana" w:hAnsi="Verdana" w:cs="Arial"/>
          <w:i/>
        </w:rPr>
        <w:t>influencia</w:t>
      </w:r>
      <w:r w:rsidRPr="00D509BC">
        <w:rPr>
          <w:rFonts w:ascii="Verdana" w:hAnsi="Verdana" w:cs="Arial"/>
        </w:rPr>
        <w:t xml:space="preserve"> a través de la negociación colectiva (cuya cobertura media alcanza casi a los dos tercios de los trabajadores europeos) y otras vías de interlocución e intervención social.</w:t>
      </w:r>
    </w:p>
    <w:p w:rsidR="00D509BC" w:rsidRPr="00D509BC" w:rsidRDefault="00D509BC" w:rsidP="00D509BC">
      <w:pPr>
        <w:spacing w:after="0" w:line="240" w:lineRule="auto"/>
        <w:jc w:val="both"/>
        <w:rPr>
          <w:rFonts w:ascii="Verdana" w:hAnsi="Verdana"/>
          <w:b/>
        </w:rPr>
      </w:pPr>
    </w:p>
    <w:p w:rsidR="00D509BC" w:rsidRDefault="00D509BC" w:rsidP="00D509BC">
      <w:pPr>
        <w:spacing w:after="0" w:line="240" w:lineRule="auto"/>
        <w:jc w:val="both"/>
        <w:rPr>
          <w:rFonts w:ascii="Verdana" w:hAnsi="Verdana"/>
          <w:b/>
        </w:rPr>
      </w:pPr>
    </w:p>
    <w:p w:rsidR="00D509BC" w:rsidRPr="00D509BC" w:rsidRDefault="00D509BC" w:rsidP="00D509BC">
      <w:pPr>
        <w:spacing w:after="0" w:line="240" w:lineRule="auto"/>
        <w:jc w:val="both"/>
        <w:rPr>
          <w:rFonts w:ascii="Verdana" w:hAnsi="Verdana"/>
          <w:b/>
        </w:rPr>
      </w:pPr>
      <w:r>
        <w:rPr>
          <w:rFonts w:ascii="Verdana" w:hAnsi="Verdana"/>
          <w:b/>
        </w:rPr>
        <w:t>II</w:t>
      </w:r>
      <w:r w:rsidRPr="00D509BC">
        <w:rPr>
          <w:rFonts w:ascii="Verdana" w:hAnsi="Verdana"/>
          <w:b/>
        </w:rPr>
        <w:t>.1. Representación de los trabajadores en la UE: modelos, estructura y cobertura</w:t>
      </w:r>
    </w:p>
    <w:p w:rsid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both"/>
        <w:rPr>
          <w:rFonts w:ascii="Verdana" w:hAnsi="Verdana" w:cs="Arial"/>
        </w:rPr>
      </w:pPr>
      <w:r w:rsidRPr="00D509BC">
        <w:rPr>
          <w:rFonts w:ascii="Verdana" w:hAnsi="Verdana" w:cs="Arial"/>
        </w:rPr>
        <w:t xml:space="preserve">Sobre una población asalariada próxima a los ciento ochenta millones de personas en el conjunto de la UE-28, la tasa media de afiliación sindical es del 23,4%, según datos oficiales (Comisión Europea, 2011), porcentaje que aumenta hasta el 32,1% a través de la representación electoral en los centros de trabajo (cualquiera que sea el canal por el que se realice) y al 62,4% de  cobertura de la negociación colectiva desarrollada por sindicatos, según datos de la última  </w:t>
      </w:r>
      <w:r w:rsidRPr="00D509BC">
        <w:rPr>
          <w:rFonts w:ascii="Verdana" w:hAnsi="Verdana" w:cs="Arial"/>
          <w:i/>
        </w:rPr>
        <w:t>Encuesta Europea de Empresas</w:t>
      </w:r>
      <w:r w:rsidRPr="00D509BC">
        <w:rPr>
          <w:rStyle w:val="Refdenotaalpie"/>
          <w:rFonts w:ascii="Verdana" w:hAnsi="Verdana" w:cs="Arial"/>
          <w:i/>
        </w:rPr>
        <w:footnoteReference w:id="26"/>
      </w:r>
    </w:p>
    <w:p w:rsid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both"/>
        <w:rPr>
          <w:rFonts w:ascii="Verdana" w:hAnsi="Verdana" w:cs="Arial"/>
        </w:rPr>
      </w:pPr>
      <w:r w:rsidRPr="00D509BC">
        <w:rPr>
          <w:rFonts w:ascii="Verdana" w:hAnsi="Verdana" w:cs="Arial"/>
        </w:rPr>
        <w:t xml:space="preserve">Se trata de una encuesta realizada por el prestigioso Instituto Gallup para la agencia </w:t>
      </w:r>
      <w:proofErr w:type="spellStart"/>
      <w:r w:rsidRPr="00D509BC">
        <w:rPr>
          <w:rFonts w:ascii="Verdana" w:hAnsi="Verdana" w:cs="Arial"/>
          <w:i/>
        </w:rPr>
        <w:t>Eurofound</w:t>
      </w:r>
      <w:proofErr w:type="spellEnd"/>
      <w:r w:rsidRPr="00D509BC">
        <w:rPr>
          <w:rFonts w:ascii="Verdana" w:hAnsi="Verdana" w:cs="Arial"/>
        </w:rPr>
        <w:t xml:space="preserve"> de la UE (Fundación Europea para la Mejora de las Condiciones de Vida y de Trabajo), con periodicidad cuatrienal  desde 2005 y que en su tercera edición, correspondiente a 2013, abarca un total de 32 países (los 28 de la Unión Europea </w:t>
      </w:r>
      <w:proofErr w:type="spellStart"/>
      <w:r w:rsidRPr="00D509BC">
        <w:rPr>
          <w:rFonts w:ascii="Verdana" w:hAnsi="Verdana" w:cs="Arial"/>
        </w:rPr>
        <w:t>mas</w:t>
      </w:r>
      <w:proofErr w:type="spellEnd"/>
      <w:r w:rsidRPr="00D509BC">
        <w:rPr>
          <w:rFonts w:ascii="Verdana" w:hAnsi="Verdana" w:cs="Arial"/>
        </w:rPr>
        <w:t xml:space="preserve"> Islandia, Macedonia, Montenegro y Turquía), en base a una muestra de 29.950 empresas de más de 10 trabajadores, de las que se ha entrevistado a los directores de recursos humanos.</w:t>
      </w:r>
    </w:p>
    <w:p w:rsid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both"/>
        <w:rPr>
          <w:rFonts w:ascii="Verdana" w:hAnsi="Verdana" w:cs="Arial"/>
          <w:color w:val="0070C0"/>
        </w:rPr>
      </w:pPr>
      <w:r w:rsidRPr="00D509BC">
        <w:rPr>
          <w:rFonts w:ascii="Verdana" w:hAnsi="Verdana" w:cs="Arial"/>
        </w:rPr>
        <w:t>Los mecanismos de articulación entre estos tres indicadores de la intervención sindical (</w:t>
      </w:r>
      <w:r w:rsidRPr="00D509BC">
        <w:rPr>
          <w:rFonts w:ascii="Verdana" w:hAnsi="Verdana" w:cs="Arial"/>
          <w:i/>
        </w:rPr>
        <w:t>tabla</w:t>
      </w:r>
      <w:r>
        <w:rPr>
          <w:rFonts w:ascii="Verdana" w:hAnsi="Verdana" w:cs="Arial"/>
          <w:i/>
        </w:rPr>
        <w:t xml:space="preserve"> 2</w:t>
      </w:r>
      <w:r w:rsidRPr="00D509BC">
        <w:rPr>
          <w:rFonts w:ascii="Verdana" w:hAnsi="Verdana" w:cs="Arial"/>
          <w:i/>
        </w:rPr>
        <w:t>.1</w:t>
      </w:r>
      <w:r w:rsidRPr="00D509BC">
        <w:rPr>
          <w:rFonts w:ascii="Verdana" w:hAnsi="Verdana" w:cs="Arial"/>
        </w:rPr>
        <w:t xml:space="preserve">) han contribuido, junto a otros factores contextuales (estructura económica y del empleo, marco legal, orientación política, etc.) a la configuración de los diferentes sistemas de relaciones laborales europeos (escandinavo, germánico, anglosajón, latino y oriental), caracterizados por su desigual contribución al desarrollo económico y la cohesión social en los países de referencia. </w:t>
      </w:r>
    </w:p>
    <w:p w:rsid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both"/>
        <w:rPr>
          <w:rFonts w:ascii="Verdana" w:hAnsi="Verdana" w:cs="Arial"/>
        </w:rPr>
      </w:pPr>
      <w:r w:rsidRPr="00D509BC">
        <w:rPr>
          <w:rFonts w:ascii="Verdana" w:hAnsi="Verdana" w:cs="Arial"/>
        </w:rPr>
        <w:t>El análisis agregado de estos indicadores permite identificar una primera correlación entre sus correspondientes valores  y los principales sistemas de relaciones laborales, en una escala que oscila entre los mayores niveles de intervención sindical en el área escandinava y los más bajos del área oriental, pasando por diferentes situaciones intermedias en los países adscritos a los sistemas germánico, latino y anglosajón.</w:t>
      </w:r>
    </w:p>
    <w:p w:rsidR="00D509BC" w:rsidRPr="00D509BC" w:rsidRDefault="00D509BC" w:rsidP="00D509BC">
      <w:pPr>
        <w:spacing w:after="0" w:line="240" w:lineRule="auto"/>
        <w:jc w:val="both"/>
        <w:rPr>
          <w:rFonts w:ascii="Verdana" w:hAnsi="Verdana" w:cs="Arial"/>
        </w:rPr>
      </w:pPr>
    </w:p>
    <w:p w:rsidR="00D509BC" w:rsidRPr="00D509BC" w:rsidRDefault="00D509BC" w:rsidP="00D509BC">
      <w:pPr>
        <w:keepNext/>
        <w:keepLines/>
        <w:spacing w:after="0" w:line="240" w:lineRule="auto"/>
        <w:jc w:val="center"/>
        <w:rPr>
          <w:rFonts w:ascii="Verdana" w:hAnsi="Verdana" w:cs="Arial"/>
        </w:rPr>
      </w:pPr>
      <w:r w:rsidRPr="00D509BC">
        <w:rPr>
          <w:rFonts w:ascii="Verdana" w:hAnsi="Verdana" w:cs="Arial"/>
        </w:rPr>
        <w:lastRenderedPageBreak/>
        <w:t xml:space="preserve">Tabla  </w:t>
      </w:r>
      <w:r>
        <w:rPr>
          <w:rFonts w:ascii="Verdana" w:hAnsi="Verdana" w:cs="Arial"/>
        </w:rPr>
        <w:t>2</w:t>
      </w:r>
      <w:r w:rsidRPr="00D509BC">
        <w:rPr>
          <w:rFonts w:ascii="Verdana" w:hAnsi="Verdana" w:cs="Arial"/>
        </w:rPr>
        <w:t>.1. Indicadores de sindicalización en la Unión Europea (en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63"/>
        <w:gridCol w:w="987"/>
        <w:gridCol w:w="995"/>
        <w:gridCol w:w="1288"/>
        <w:gridCol w:w="968"/>
        <w:gridCol w:w="988"/>
        <w:gridCol w:w="1062"/>
      </w:tblGrid>
      <w:tr w:rsidR="00D509BC" w:rsidRPr="00D509BC" w:rsidTr="00D509BC">
        <w:tc>
          <w:tcPr>
            <w:tcW w:w="1333" w:type="dxa"/>
            <w:shd w:val="clear" w:color="auto" w:fill="D9D9D9"/>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 xml:space="preserve"> PAÍS</w:t>
            </w:r>
          </w:p>
        </w:tc>
        <w:tc>
          <w:tcPr>
            <w:tcW w:w="1029" w:type="dxa"/>
            <w:shd w:val="clear" w:color="auto" w:fill="D9D9D9"/>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AF</w:t>
            </w:r>
          </w:p>
        </w:tc>
        <w:tc>
          <w:tcPr>
            <w:tcW w:w="1038" w:type="dxa"/>
            <w:shd w:val="clear" w:color="auto" w:fill="D9D9D9"/>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REP</w:t>
            </w:r>
          </w:p>
        </w:tc>
        <w:tc>
          <w:tcPr>
            <w:tcW w:w="1041" w:type="dxa"/>
            <w:shd w:val="clear" w:color="auto" w:fill="D9D9D9"/>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CNC</w:t>
            </w:r>
          </w:p>
        </w:tc>
        <w:tc>
          <w:tcPr>
            <w:tcW w:w="1168" w:type="dxa"/>
            <w:shd w:val="clear" w:color="auto" w:fill="D9D9D9"/>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PAÍS</w:t>
            </w:r>
          </w:p>
        </w:tc>
        <w:tc>
          <w:tcPr>
            <w:tcW w:w="1030" w:type="dxa"/>
            <w:shd w:val="clear" w:color="auto" w:fill="D9D9D9"/>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AF</w:t>
            </w:r>
          </w:p>
        </w:tc>
        <w:tc>
          <w:tcPr>
            <w:tcW w:w="1039" w:type="dxa"/>
            <w:shd w:val="clear" w:color="auto" w:fill="D9D9D9"/>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REP</w:t>
            </w:r>
          </w:p>
        </w:tc>
        <w:tc>
          <w:tcPr>
            <w:tcW w:w="1042" w:type="dxa"/>
            <w:shd w:val="clear" w:color="auto" w:fill="D9D9D9"/>
          </w:tcPr>
          <w:p w:rsidR="00D509BC" w:rsidRPr="00D509BC" w:rsidRDefault="00D509BC" w:rsidP="00D509BC">
            <w:pPr>
              <w:keepNext/>
              <w:keepLines/>
              <w:spacing w:after="0" w:line="240" w:lineRule="auto"/>
              <w:jc w:val="center"/>
              <w:rPr>
                <w:rFonts w:ascii="Verdana" w:hAnsi="Verdana" w:cs="Arial"/>
                <w:sz w:val="20"/>
                <w:szCs w:val="20"/>
              </w:rPr>
            </w:pPr>
            <w:commentRangeStart w:id="0"/>
            <w:r w:rsidRPr="00D509BC">
              <w:rPr>
                <w:rFonts w:ascii="Verdana" w:hAnsi="Verdana" w:cs="Arial"/>
                <w:sz w:val="20"/>
                <w:szCs w:val="20"/>
              </w:rPr>
              <w:t>CNC</w:t>
            </w:r>
            <w:commentRangeEnd w:id="0"/>
            <w:r w:rsidRPr="00D509BC">
              <w:rPr>
                <w:rStyle w:val="Refdecomentario"/>
                <w:rFonts w:ascii="Verdana" w:hAnsi="Verdana"/>
              </w:rPr>
              <w:commentReference w:id="0"/>
            </w:r>
          </w:p>
        </w:tc>
      </w:tr>
      <w:tr w:rsidR="00D509BC" w:rsidRPr="00D509BC" w:rsidTr="00D509BC">
        <w:tc>
          <w:tcPr>
            <w:tcW w:w="4441" w:type="dxa"/>
            <w:gridSpan w:val="4"/>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SISTEMA ESCANDINAVO</w:t>
            </w:r>
          </w:p>
        </w:tc>
        <w:tc>
          <w:tcPr>
            <w:tcW w:w="4279" w:type="dxa"/>
            <w:gridSpan w:val="4"/>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SISTEMA ANGLOSAJÓN</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Finlandia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74</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70</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91</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Inglaterra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26</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16</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29</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Dinamarca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67</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80</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80</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Irlanda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31</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28</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44</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Suecia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70</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54</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88</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Malta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51</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14</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61</w:t>
            </w:r>
          </w:p>
        </w:tc>
      </w:tr>
      <w:tr w:rsidR="00D509BC" w:rsidRPr="00D509BC" w:rsidTr="00D509BC">
        <w:tc>
          <w:tcPr>
            <w:tcW w:w="4441" w:type="dxa"/>
            <w:gridSpan w:val="4"/>
          </w:tcPr>
          <w:p w:rsidR="00D509BC" w:rsidRPr="00D509BC" w:rsidRDefault="00D509BC" w:rsidP="00D509BC">
            <w:pPr>
              <w:keepNext/>
              <w:keepLines/>
              <w:spacing w:after="0" w:line="240" w:lineRule="auto"/>
              <w:rPr>
                <w:rFonts w:ascii="Verdana" w:hAnsi="Verdana" w:cs="Arial"/>
                <w:sz w:val="20"/>
                <w:szCs w:val="20"/>
              </w:rPr>
            </w:pPr>
            <w:r w:rsidRPr="00D509BC">
              <w:rPr>
                <w:rFonts w:ascii="Verdana" w:hAnsi="Verdana" w:cs="Arial"/>
                <w:sz w:val="20"/>
                <w:szCs w:val="20"/>
              </w:rPr>
              <w:t>SISTEMA GERMÁNICO</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Chipre</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55</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33</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52</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Alemania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18</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22</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59</w:t>
            </w:r>
          </w:p>
        </w:tc>
        <w:tc>
          <w:tcPr>
            <w:tcW w:w="4279" w:type="dxa"/>
            <w:gridSpan w:val="4"/>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SISTEMA ORIENTAL</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Austria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28</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25</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95</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Bulgaria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20</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26</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30</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Bélgica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50</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54</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96</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Chequia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17</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12</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38</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Holanda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20</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55</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81</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Eslovaquia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17</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38</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35</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Luxemburgo</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41</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56</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50</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Estonia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10</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37</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33</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Eslovenia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27</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39</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90</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Hungría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12</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16</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33</w:t>
            </w:r>
          </w:p>
        </w:tc>
      </w:tr>
      <w:tr w:rsidR="00D509BC" w:rsidRPr="00D509BC" w:rsidTr="00D509BC">
        <w:tc>
          <w:tcPr>
            <w:tcW w:w="4441" w:type="dxa"/>
            <w:gridSpan w:val="4"/>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SISTEMA LATINO</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Letonia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13</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9</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34</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España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19</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57</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70</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Lituania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10</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57</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15</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Francia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8</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55</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98</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Polonia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12</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24</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25</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Grecia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25</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14</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65</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Rumanía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33</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52</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36</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Italia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35</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27</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80</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Croacia</w:t>
            </w:r>
          </w:p>
        </w:tc>
        <w:tc>
          <w:tcPr>
            <w:tcW w:w="1030"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35</w:t>
            </w:r>
          </w:p>
        </w:tc>
        <w:tc>
          <w:tcPr>
            <w:tcW w:w="103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23</w:t>
            </w:r>
          </w:p>
        </w:tc>
        <w:tc>
          <w:tcPr>
            <w:tcW w:w="1042"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61</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Portugal</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19</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8</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92</w:t>
            </w:r>
          </w:p>
        </w:tc>
        <w:tc>
          <w:tcPr>
            <w:tcW w:w="1168" w:type="dxa"/>
          </w:tcPr>
          <w:p w:rsidR="00D509BC" w:rsidRPr="00D509BC" w:rsidRDefault="00D509BC" w:rsidP="00D509BC">
            <w:pPr>
              <w:keepNext/>
              <w:keepLines/>
              <w:spacing w:after="0" w:line="240" w:lineRule="auto"/>
              <w:jc w:val="both"/>
              <w:rPr>
                <w:rFonts w:ascii="Verdana" w:hAnsi="Verdana" w:cs="Arial"/>
                <w:b/>
                <w:sz w:val="20"/>
                <w:szCs w:val="20"/>
              </w:rPr>
            </w:pPr>
            <w:r w:rsidRPr="00D509BC">
              <w:rPr>
                <w:rFonts w:ascii="Verdana" w:hAnsi="Verdana" w:cs="Arial"/>
                <w:b/>
                <w:sz w:val="20"/>
                <w:szCs w:val="20"/>
              </w:rPr>
              <w:t>TOTAL UE</w:t>
            </w:r>
          </w:p>
        </w:tc>
        <w:tc>
          <w:tcPr>
            <w:tcW w:w="1030" w:type="dxa"/>
          </w:tcPr>
          <w:p w:rsidR="00D509BC" w:rsidRPr="00D509BC" w:rsidRDefault="00D509BC" w:rsidP="00D509BC">
            <w:pPr>
              <w:keepNext/>
              <w:keepLines/>
              <w:spacing w:after="0" w:line="240" w:lineRule="auto"/>
              <w:jc w:val="center"/>
              <w:rPr>
                <w:rFonts w:ascii="Verdana" w:hAnsi="Verdana" w:cs="Arial"/>
                <w:b/>
                <w:sz w:val="20"/>
                <w:szCs w:val="20"/>
              </w:rPr>
            </w:pPr>
            <w:r w:rsidRPr="00D509BC">
              <w:rPr>
                <w:rFonts w:ascii="Verdana" w:hAnsi="Verdana" w:cs="Arial"/>
                <w:b/>
                <w:sz w:val="20"/>
                <w:szCs w:val="20"/>
              </w:rPr>
              <w:t>23</w:t>
            </w:r>
          </w:p>
        </w:tc>
        <w:tc>
          <w:tcPr>
            <w:tcW w:w="1039" w:type="dxa"/>
          </w:tcPr>
          <w:p w:rsidR="00D509BC" w:rsidRPr="00D509BC" w:rsidRDefault="00D509BC" w:rsidP="00D509BC">
            <w:pPr>
              <w:keepNext/>
              <w:keepLines/>
              <w:spacing w:after="0" w:line="240" w:lineRule="auto"/>
              <w:jc w:val="center"/>
              <w:rPr>
                <w:rFonts w:ascii="Verdana" w:hAnsi="Verdana" w:cs="Arial"/>
                <w:b/>
                <w:sz w:val="20"/>
                <w:szCs w:val="20"/>
              </w:rPr>
            </w:pPr>
            <w:r w:rsidRPr="00D509BC">
              <w:rPr>
                <w:rFonts w:ascii="Verdana" w:hAnsi="Verdana" w:cs="Arial"/>
                <w:b/>
                <w:sz w:val="20"/>
                <w:szCs w:val="20"/>
              </w:rPr>
              <w:t>32</w:t>
            </w:r>
          </w:p>
        </w:tc>
        <w:tc>
          <w:tcPr>
            <w:tcW w:w="1042" w:type="dxa"/>
          </w:tcPr>
          <w:p w:rsidR="00D509BC" w:rsidRPr="00D509BC" w:rsidRDefault="00D509BC" w:rsidP="00D509BC">
            <w:pPr>
              <w:keepNext/>
              <w:keepLines/>
              <w:spacing w:after="0" w:line="240" w:lineRule="auto"/>
              <w:jc w:val="center"/>
              <w:rPr>
                <w:rFonts w:ascii="Verdana" w:hAnsi="Verdana" w:cs="Arial"/>
                <w:b/>
                <w:sz w:val="20"/>
                <w:szCs w:val="20"/>
              </w:rPr>
            </w:pPr>
            <w:r w:rsidRPr="00D509BC">
              <w:rPr>
                <w:rFonts w:ascii="Verdana" w:hAnsi="Verdana" w:cs="Arial"/>
                <w:b/>
                <w:sz w:val="20"/>
                <w:szCs w:val="20"/>
              </w:rPr>
              <w:t>62</w:t>
            </w:r>
          </w:p>
        </w:tc>
      </w:tr>
    </w:tbl>
    <w:p w:rsidR="00D509BC" w:rsidRPr="00D509BC" w:rsidRDefault="00D509BC" w:rsidP="00D509BC">
      <w:pPr>
        <w:keepNext/>
        <w:keepLines/>
        <w:spacing w:after="0" w:line="240" w:lineRule="auto"/>
        <w:jc w:val="center"/>
        <w:rPr>
          <w:rFonts w:ascii="Verdana" w:hAnsi="Verdana" w:cs="Arial"/>
          <w:color w:val="0070C0"/>
          <w:sz w:val="20"/>
          <w:szCs w:val="20"/>
          <w:lang w:val="en-US"/>
        </w:rPr>
      </w:pPr>
      <w:r w:rsidRPr="00D509BC">
        <w:rPr>
          <w:rFonts w:ascii="Verdana" w:hAnsi="Verdana" w:cs="Arial"/>
          <w:sz w:val="20"/>
          <w:szCs w:val="20"/>
          <w:lang w:val="en-US"/>
        </w:rPr>
        <w:t xml:space="preserve">Fuente: </w:t>
      </w:r>
      <w:proofErr w:type="spellStart"/>
      <w:r w:rsidRPr="00D509BC">
        <w:rPr>
          <w:rFonts w:ascii="Verdana" w:hAnsi="Verdana" w:cs="Arial"/>
          <w:sz w:val="20"/>
          <w:szCs w:val="20"/>
          <w:lang w:val="en-US"/>
        </w:rPr>
        <w:t>Eurofound</w:t>
      </w:r>
      <w:proofErr w:type="spellEnd"/>
      <w:r w:rsidRPr="00D509BC">
        <w:rPr>
          <w:rFonts w:ascii="Verdana" w:hAnsi="Verdana" w:cs="Arial"/>
          <w:sz w:val="20"/>
          <w:szCs w:val="20"/>
          <w:lang w:val="en-US"/>
        </w:rPr>
        <w:t xml:space="preserve">: </w:t>
      </w:r>
      <w:r w:rsidRPr="00D509BC">
        <w:rPr>
          <w:rFonts w:ascii="Verdana" w:hAnsi="Verdana" w:cs="Arial"/>
          <w:i/>
          <w:sz w:val="20"/>
          <w:szCs w:val="20"/>
          <w:lang w:val="en-US"/>
        </w:rPr>
        <w:t xml:space="preserve">European Company Survey 2013; </w:t>
      </w:r>
      <w:r w:rsidRPr="00D509BC">
        <w:rPr>
          <w:rFonts w:ascii="Verdana" w:hAnsi="Verdana"/>
          <w:sz w:val="20"/>
          <w:szCs w:val="20"/>
          <w:lang w:val="en-US"/>
        </w:rPr>
        <w:t xml:space="preserve">ETUI: </w:t>
      </w:r>
      <w:r w:rsidRPr="00D509BC">
        <w:rPr>
          <w:rFonts w:ascii="Verdana" w:hAnsi="Verdana"/>
          <w:i/>
          <w:sz w:val="20"/>
          <w:szCs w:val="20"/>
          <w:lang w:val="en-US"/>
        </w:rPr>
        <w:t>Worker representation in Europe 2013</w:t>
      </w:r>
    </w:p>
    <w:p w:rsidR="00D509BC" w:rsidRPr="00D509BC" w:rsidRDefault="00D509BC" w:rsidP="00D509BC">
      <w:pPr>
        <w:spacing w:after="0" w:line="240" w:lineRule="auto"/>
        <w:jc w:val="both"/>
        <w:rPr>
          <w:rFonts w:ascii="Verdana" w:hAnsi="Verdana" w:cs="Arial"/>
          <w:color w:val="0070C0"/>
          <w:lang w:val="en-US"/>
        </w:rPr>
      </w:pPr>
    </w:p>
    <w:p w:rsidR="00D509BC" w:rsidRPr="00D509BC" w:rsidRDefault="00D509BC" w:rsidP="00D509BC">
      <w:pPr>
        <w:autoSpaceDE w:val="0"/>
        <w:autoSpaceDN w:val="0"/>
        <w:adjustRightInd w:val="0"/>
        <w:spacing w:after="0" w:line="240" w:lineRule="auto"/>
        <w:jc w:val="both"/>
        <w:rPr>
          <w:rFonts w:ascii="Verdana" w:hAnsi="Verdana" w:cs="NewBaskerville-Roman"/>
          <w:lang w:eastAsia="es-ES"/>
        </w:rPr>
      </w:pPr>
      <w:r w:rsidRPr="00D509BC">
        <w:rPr>
          <w:rFonts w:ascii="Verdana" w:hAnsi="Verdana" w:cs="NewBaskerville-Roman"/>
          <w:lang w:eastAsia="es-ES"/>
        </w:rPr>
        <w:t xml:space="preserve">Con todo, la composición y tasas de cobertura de la representación sindical varían significativamente según áreas y sistemas de relaciones laborales (vid. </w:t>
      </w:r>
      <w:r w:rsidRPr="00D509BC">
        <w:rPr>
          <w:rFonts w:ascii="Verdana" w:hAnsi="Verdana" w:cs="NewBaskerville-Roman"/>
          <w:i/>
          <w:lang w:eastAsia="es-ES"/>
        </w:rPr>
        <w:t>gráfico</w:t>
      </w:r>
      <w:r>
        <w:rPr>
          <w:rFonts w:ascii="Verdana" w:hAnsi="Verdana" w:cs="NewBaskerville-Roman"/>
          <w:i/>
          <w:lang w:eastAsia="es-ES"/>
        </w:rPr>
        <w:t xml:space="preserve"> 2</w:t>
      </w:r>
      <w:r w:rsidRPr="00D509BC">
        <w:rPr>
          <w:rFonts w:ascii="Verdana" w:hAnsi="Verdana" w:cs="NewBaskerville-Roman"/>
          <w:i/>
          <w:lang w:eastAsia="es-ES"/>
        </w:rPr>
        <w:t>.1</w:t>
      </w:r>
      <w:r w:rsidRPr="00D509BC">
        <w:rPr>
          <w:rFonts w:ascii="Verdana" w:hAnsi="Verdana" w:cs="NewBaskerville-Roman"/>
          <w:lang w:eastAsia="es-ES"/>
        </w:rPr>
        <w:t xml:space="preserve">), hasta el punto de operar como indicadores de la existencia de diferentes modelos sindicales, según articulen preferentemente su intervención en base a la afiliación estricta (TU: </w:t>
      </w:r>
      <w:proofErr w:type="spellStart"/>
      <w:r w:rsidRPr="00D509BC">
        <w:rPr>
          <w:rFonts w:ascii="Verdana" w:hAnsi="Verdana" w:cs="NewBaskerville-Roman"/>
          <w:lang w:eastAsia="es-ES"/>
        </w:rPr>
        <w:t>Trade</w:t>
      </w:r>
      <w:proofErr w:type="spellEnd"/>
      <w:r w:rsidRPr="00D509BC">
        <w:rPr>
          <w:rFonts w:ascii="Verdana" w:hAnsi="Verdana" w:cs="NewBaskerville-Roman"/>
          <w:lang w:eastAsia="es-ES"/>
        </w:rPr>
        <w:t xml:space="preserve"> </w:t>
      </w:r>
      <w:proofErr w:type="spellStart"/>
      <w:r w:rsidRPr="00D509BC">
        <w:rPr>
          <w:rFonts w:ascii="Verdana" w:hAnsi="Verdana" w:cs="NewBaskerville-Roman"/>
          <w:lang w:eastAsia="es-ES"/>
        </w:rPr>
        <w:t>Unions</w:t>
      </w:r>
      <w:proofErr w:type="spellEnd"/>
      <w:r w:rsidRPr="00D509BC">
        <w:rPr>
          <w:rFonts w:ascii="Verdana" w:hAnsi="Verdana" w:cs="NewBaskerville-Roman"/>
          <w:lang w:eastAsia="es-ES"/>
        </w:rPr>
        <w:t xml:space="preserve">), la representatividad electoral (WC: Works </w:t>
      </w:r>
      <w:proofErr w:type="spellStart"/>
      <w:r w:rsidRPr="00D509BC">
        <w:rPr>
          <w:rFonts w:ascii="Verdana" w:hAnsi="Verdana" w:cs="NewBaskerville-Roman"/>
          <w:lang w:eastAsia="es-ES"/>
        </w:rPr>
        <w:t>Councils</w:t>
      </w:r>
      <w:proofErr w:type="spellEnd"/>
      <w:r w:rsidRPr="00D509BC">
        <w:rPr>
          <w:rFonts w:ascii="Verdana" w:hAnsi="Verdana" w:cs="NewBaskerville-Roman"/>
          <w:lang w:eastAsia="es-ES"/>
        </w:rPr>
        <w:t>) o la combinación de ambas.</w:t>
      </w:r>
    </w:p>
    <w:p w:rsidR="00D509BC" w:rsidRDefault="00D509BC" w:rsidP="00D509BC">
      <w:pPr>
        <w:autoSpaceDE w:val="0"/>
        <w:autoSpaceDN w:val="0"/>
        <w:adjustRightInd w:val="0"/>
        <w:spacing w:after="0" w:line="240" w:lineRule="auto"/>
        <w:jc w:val="both"/>
        <w:rPr>
          <w:rFonts w:ascii="Verdana" w:hAnsi="Verdana" w:cs="NewBaskerville-Roman"/>
          <w:lang w:eastAsia="es-ES"/>
        </w:rPr>
      </w:pPr>
    </w:p>
    <w:p w:rsidR="00D509BC" w:rsidRPr="00D509BC" w:rsidRDefault="00D509BC" w:rsidP="00D509BC">
      <w:pPr>
        <w:autoSpaceDE w:val="0"/>
        <w:autoSpaceDN w:val="0"/>
        <w:adjustRightInd w:val="0"/>
        <w:spacing w:after="0" w:line="240" w:lineRule="auto"/>
        <w:jc w:val="both"/>
        <w:rPr>
          <w:rFonts w:ascii="Verdana" w:hAnsi="Verdana" w:cs="NewBaskerville-Roman"/>
          <w:lang w:eastAsia="es-ES"/>
        </w:rPr>
      </w:pPr>
      <w:r w:rsidRPr="00D509BC">
        <w:rPr>
          <w:rFonts w:ascii="Verdana" w:hAnsi="Verdana" w:cs="NewBaskerville-Roman"/>
          <w:lang w:eastAsia="es-ES"/>
        </w:rPr>
        <w:t xml:space="preserve">Así vemos cómo, por una parte, el modelo sindical escandinavo, caracterizado por un sistema consolidado de Estado de Bienestar, concertación social, concentración de la negociación colectiva y participación institucional e incluso gestión sindical de recursos públicos y políticas activas de empleo (Sistema </w:t>
      </w:r>
      <w:proofErr w:type="spellStart"/>
      <w:r w:rsidRPr="00D509BC">
        <w:rPr>
          <w:rFonts w:ascii="Verdana" w:hAnsi="Verdana" w:cs="NewBaskerville-Roman"/>
          <w:lang w:eastAsia="es-ES"/>
        </w:rPr>
        <w:t>Ghent</w:t>
      </w:r>
      <w:proofErr w:type="spellEnd"/>
      <w:r w:rsidRPr="00D509BC">
        <w:rPr>
          <w:rFonts w:ascii="Verdana" w:hAnsi="Verdana" w:cs="NewBaskerville-Roman"/>
          <w:lang w:eastAsia="es-ES"/>
        </w:rPr>
        <w:t>), se articula en base a unas altas tasas de afiliación e interlocución sindical directas, sin requerir apenas de otras instancias de mediación.</w:t>
      </w:r>
    </w:p>
    <w:p w:rsidR="00D509BC" w:rsidRPr="00D509BC" w:rsidRDefault="00D509BC" w:rsidP="00D509BC">
      <w:pPr>
        <w:spacing w:after="0" w:line="240" w:lineRule="auto"/>
        <w:jc w:val="both"/>
        <w:outlineLvl w:val="0"/>
        <w:rPr>
          <w:rFonts w:ascii="Verdana" w:hAnsi="Verdana" w:cs="Arial"/>
        </w:rPr>
      </w:pPr>
    </w:p>
    <w:p w:rsidR="00D509BC" w:rsidRPr="00D509BC" w:rsidRDefault="00D509BC" w:rsidP="00D509BC">
      <w:pPr>
        <w:keepNext/>
        <w:keepLines/>
        <w:spacing w:after="0" w:line="240" w:lineRule="auto"/>
        <w:jc w:val="center"/>
        <w:rPr>
          <w:rFonts w:ascii="Verdana" w:hAnsi="Verdana"/>
        </w:rPr>
      </w:pPr>
      <w:r w:rsidRPr="00D509BC">
        <w:rPr>
          <w:rFonts w:ascii="Verdana" w:hAnsi="Verdana"/>
        </w:rPr>
        <w:lastRenderedPageBreak/>
        <w:t xml:space="preserve">Gráfico </w:t>
      </w:r>
      <w:r>
        <w:rPr>
          <w:rFonts w:ascii="Verdana" w:hAnsi="Verdana"/>
        </w:rPr>
        <w:t>2</w:t>
      </w:r>
      <w:r w:rsidRPr="00D509BC">
        <w:rPr>
          <w:rFonts w:ascii="Verdana" w:hAnsi="Verdana"/>
        </w:rPr>
        <w:t xml:space="preserve">.1. Tipos y cobertura de la representación de los trabajadores, según sistema de </w:t>
      </w:r>
      <w:commentRangeStart w:id="1"/>
      <w:r w:rsidRPr="00D509BC">
        <w:rPr>
          <w:rFonts w:ascii="Verdana" w:hAnsi="Verdana"/>
        </w:rPr>
        <w:t>relaciones</w:t>
      </w:r>
      <w:commentRangeEnd w:id="1"/>
      <w:r w:rsidRPr="00D509BC">
        <w:rPr>
          <w:rStyle w:val="Refdecomentario"/>
          <w:rFonts w:ascii="Verdana" w:hAnsi="Verdana"/>
        </w:rPr>
        <w:commentReference w:id="1"/>
      </w:r>
      <w:r w:rsidRPr="00D509BC">
        <w:rPr>
          <w:rFonts w:ascii="Verdana" w:hAnsi="Verdana"/>
        </w:rPr>
        <w:t xml:space="preserve"> laborales</w:t>
      </w:r>
    </w:p>
    <w:p w:rsidR="00D509BC" w:rsidRPr="00D509BC" w:rsidRDefault="00D509BC" w:rsidP="00D509BC">
      <w:pPr>
        <w:keepNext/>
        <w:keepLines/>
        <w:autoSpaceDE w:val="0"/>
        <w:autoSpaceDN w:val="0"/>
        <w:adjustRightInd w:val="0"/>
        <w:spacing w:after="0" w:line="240" w:lineRule="auto"/>
        <w:jc w:val="both"/>
        <w:rPr>
          <w:rFonts w:ascii="Verdana" w:hAnsi="Verdana" w:cs="NewBaskerville-Roman"/>
          <w:lang w:eastAsia="es-ES"/>
        </w:rPr>
      </w:pPr>
      <w:r w:rsidRPr="00D509BC">
        <w:rPr>
          <w:rFonts w:ascii="Verdana" w:hAnsi="Verdana" w:cs="NewBaskerville-Roman"/>
          <w:noProof/>
          <w:lang w:eastAsia="es-ES"/>
        </w:rPr>
        <w:drawing>
          <wp:inline distT="0" distB="0" distL="0" distR="0" wp14:anchorId="37404A73" wp14:editId="3874F9DD">
            <wp:extent cx="5609590" cy="3138805"/>
            <wp:effectExtent l="0" t="0" r="0" b="0"/>
            <wp:docPr id="7" name="Imagen 2" descr="IncidencOfWorkplaceRe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cidencOfWorkplaceRepresentation.jp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9590" cy="3138805"/>
                    </a:xfrm>
                    <a:prstGeom prst="rect">
                      <a:avLst/>
                    </a:prstGeom>
                    <a:noFill/>
                    <a:ln w="9525">
                      <a:noFill/>
                      <a:miter lim="800000"/>
                      <a:headEnd/>
                      <a:tailEnd/>
                    </a:ln>
                  </pic:spPr>
                </pic:pic>
              </a:graphicData>
            </a:graphic>
          </wp:inline>
        </w:drawing>
      </w:r>
    </w:p>
    <w:p w:rsidR="00D509BC" w:rsidRPr="00D509BC" w:rsidRDefault="00D509BC" w:rsidP="00D509BC">
      <w:pPr>
        <w:autoSpaceDE w:val="0"/>
        <w:autoSpaceDN w:val="0"/>
        <w:adjustRightInd w:val="0"/>
        <w:spacing w:after="0" w:line="240" w:lineRule="auto"/>
        <w:jc w:val="both"/>
        <w:rPr>
          <w:rFonts w:ascii="Verdana" w:hAnsi="Verdana" w:cs="NewBaskerville-Roman"/>
          <w:lang w:eastAsia="es-ES"/>
        </w:rPr>
      </w:pPr>
    </w:p>
    <w:p w:rsidR="00D509BC" w:rsidRPr="00D509BC" w:rsidRDefault="00D509BC" w:rsidP="00D509BC">
      <w:pPr>
        <w:spacing w:after="0" w:line="240" w:lineRule="auto"/>
        <w:jc w:val="both"/>
        <w:outlineLvl w:val="0"/>
        <w:rPr>
          <w:rFonts w:ascii="Verdana" w:hAnsi="Verdana" w:cs="Arial"/>
        </w:rPr>
      </w:pPr>
    </w:p>
    <w:p w:rsidR="00D509BC" w:rsidRPr="00D509BC" w:rsidRDefault="00D509BC" w:rsidP="00D509BC">
      <w:pPr>
        <w:autoSpaceDE w:val="0"/>
        <w:autoSpaceDN w:val="0"/>
        <w:adjustRightInd w:val="0"/>
        <w:spacing w:after="0" w:line="240" w:lineRule="auto"/>
        <w:jc w:val="both"/>
        <w:rPr>
          <w:rFonts w:ascii="Verdana" w:hAnsi="Verdana" w:cs="NewBaskerville-Roman"/>
          <w:lang w:eastAsia="es-ES"/>
        </w:rPr>
      </w:pPr>
      <w:r w:rsidRPr="00D509BC">
        <w:rPr>
          <w:rFonts w:ascii="Verdana" w:hAnsi="Verdana" w:cs="NewBaskerville-Roman"/>
          <w:lang w:eastAsia="es-ES"/>
        </w:rPr>
        <w:t xml:space="preserve">En el extremo opuesto, los países del antiguo bloque soviético, afectados por una profunda crisis estructural, se caracterizan por su débil regulación normativa e institucional de las RRLL, lo que dificulta ampliar significativamente la cobertura de la intervención sindical a través de los procesos de representación y negociación colectiva. </w:t>
      </w:r>
    </w:p>
    <w:p w:rsidR="00D509BC" w:rsidRDefault="00D509BC" w:rsidP="00D509BC">
      <w:pPr>
        <w:autoSpaceDE w:val="0"/>
        <w:autoSpaceDN w:val="0"/>
        <w:adjustRightInd w:val="0"/>
        <w:spacing w:after="0" w:line="240" w:lineRule="auto"/>
        <w:jc w:val="both"/>
        <w:rPr>
          <w:rFonts w:ascii="Verdana" w:hAnsi="Verdana" w:cs="NewBaskerville-Roman"/>
          <w:lang w:eastAsia="es-ES"/>
        </w:rPr>
      </w:pPr>
    </w:p>
    <w:p w:rsidR="00D509BC" w:rsidRPr="00D509BC" w:rsidRDefault="00D509BC" w:rsidP="00D509BC">
      <w:pPr>
        <w:autoSpaceDE w:val="0"/>
        <w:autoSpaceDN w:val="0"/>
        <w:adjustRightInd w:val="0"/>
        <w:spacing w:after="0" w:line="240" w:lineRule="auto"/>
        <w:jc w:val="both"/>
        <w:rPr>
          <w:rFonts w:ascii="Verdana" w:hAnsi="Verdana" w:cs="NewBaskerville-Roman"/>
          <w:lang w:eastAsia="es-ES"/>
        </w:rPr>
      </w:pPr>
      <w:r w:rsidRPr="00D509BC">
        <w:rPr>
          <w:rFonts w:ascii="Verdana" w:hAnsi="Verdana" w:cs="NewBaskerville-Roman"/>
          <w:lang w:eastAsia="es-ES"/>
        </w:rPr>
        <w:t>El peculiar sistema de relaciones laborales anglosajón, de estructura pluralista y atomizada pero fuerte implantación en los centros de trabajo (</w:t>
      </w:r>
      <w:r w:rsidRPr="00D509BC">
        <w:rPr>
          <w:rFonts w:ascii="Verdana" w:hAnsi="Verdana" w:cs="NewBaskerville-Roman"/>
          <w:i/>
          <w:lang w:eastAsia="es-ES"/>
        </w:rPr>
        <w:t xml:space="preserve">shop </w:t>
      </w:r>
      <w:proofErr w:type="spellStart"/>
      <w:r w:rsidRPr="00D509BC">
        <w:rPr>
          <w:rFonts w:ascii="Verdana" w:hAnsi="Verdana" w:cs="NewBaskerville-Roman"/>
          <w:i/>
          <w:lang w:eastAsia="es-ES"/>
        </w:rPr>
        <w:t>stewards</w:t>
      </w:r>
      <w:proofErr w:type="spellEnd"/>
      <w:r w:rsidRPr="00D509BC">
        <w:rPr>
          <w:rFonts w:ascii="Verdana" w:hAnsi="Verdana" w:cs="NewBaskerville-Roman"/>
          <w:lang w:eastAsia="es-ES"/>
        </w:rPr>
        <w:t>), explica los bajos niveles de cobertura de la representación sindical, pues sólo a partir de la traslación de la directiva 2002/14 han comenzado a desarrollarse algunos órganos consultivos y de interlocución colectiva.</w:t>
      </w:r>
    </w:p>
    <w:p w:rsidR="00D509BC" w:rsidRDefault="00D509BC" w:rsidP="00D509BC">
      <w:pPr>
        <w:autoSpaceDE w:val="0"/>
        <w:autoSpaceDN w:val="0"/>
        <w:adjustRightInd w:val="0"/>
        <w:spacing w:after="0" w:line="240" w:lineRule="auto"/>
        <w:jc w:val="both"/>
        <w:rPr>
          <w:rFonts w:ascii="Verdana" w:hAnsi="Verdana" w:cs="NewBaskerville-Roman"/>
          <w:lang w:eastAsia="es-ES"/>
        </w:rPr>
      </w:pPr>
    </w:p>
    <w:p w:rsidR="00D509BC" w:rsidRPr="00D509BC" w:rsidRDefault="00D509BC" w:rsidP="00D509BC">
      <w:pPr>
        <w:autoSpaceDE w:val="0"/>
        <w:autoSpaceDN w:val="0"/>
        <w:adjustRightInd w:val="0"/>
        <w:spacing w:after="0" w:line="240" w:lineRule="auto"/>
        <w:jc w:val="both"/>
        <w:rPr>
          <w:rFonts w:ascii="Verdana" w:hAnsi="Verdana" w:cs="NewBaskerville-Roman"/>
          <w:lang w:eastAsia="es-ES"/>
        </w:rPr>
      </w:pPr>
      <w:r w:rsidRPr="00D509BC">
        <w:rPr>
          <w:rFonts w:ascii="Verdana" w:hAnsi="Verdana" w:cs="NewBaskerville-Roman"/>
          <w:lang w:eastAsia="es-ES"/>
        </w:rPr>
        <w:t xml:space="preserve">Por su parte, en el área germana, y en menor medida en la mediterránea, operan claramente los mecanismos de audiencia e influencia sindical, ampliando en proporciones significativas el alcance y eficacia de su afiliación directa, siendo tal vez el caso español el que mejor representa dicha secuencia, con las consiguientes debilidades (efecto </w:t>
      </w:r>
      <w:r w:rsidRPr="00D509BC">
        <w:rPr>
          <w:rFonts w:ascii="Verdana" w:hAnsi="Verdana" w:cs="NewBaskerville-Italic"/>
          <w:i/>
          <w:iCs/>
          <w:lang w:eastAsia="es-ES"/>
        </w:rPr>
        <w:t xml:space="preserve">free </w:t>
      </w:r>
      <w:proofErr w:type="spellStart"/>
      <w:r w:rsidRPr="00D509BC">
        <w:rPr>
          <w:rFonts w:ascii="Verdana" w:hAnsi="Verdana" w:cs="NewBaskerville-Italic"/>
          <w:i/>
          <w:iCs/>
          <w:lang w:eastAsia="es-ES"/>
        </w:rPr>
        <w:t>rider</w:t>
      </w:r>
      <w:proofErr w:type="spellEnd"/>
      <w:r w:rsidRPr="00D509BC">
        <w:rPr>
          <w:rFonts w:ascii="Verdana" w:hAnsi="Verdana" w:cs="NewBaskerville-Italic"/>
          <w:i/>
          <w:iCs/>
          <w:lang w:eastAsia="es-ES"/>
        </w:rPr>
        <w:t xml:space="preserve"> </w:t>
      </w:r>
      <w:r w:rsidRPr="00D509BC">
        <w:rPr>
          <w:rFonts w:ascii="Verdana" w:hAnsi="Verdana" w:cs="NewBaskerville-Roman"/>
          <w:lang w:eastAsia="es-ES"/>
        </w:rPr>
        <w:t>que desincentiva la afiliación) y fortalezas (amplia representatividad, cobertura universal de la negociación colectiva, legitimidad social).</w:t>
      </w:r>
    </w:p>
    <w:p w:rsid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both"/>
        <w:rPr>
          <w:rFonts w:ascii="Verdana" w:hAnsi="Verdana" w:cs="Arial"/>
        </w:rPr>
      </w:pPr>
      <w:r w:rsidRPr="00D509BC">
        <w:rPr>
          <w:rFonts w:ascii="Verdana" w:hAnsi="Verdana" w:cs="Arial"/>
        </w:rPr>
        <w:t xml:space="preserve">Una aproximación más precisa a la evaluación de la participación sindical como factor de modernización, tanto de las relaciones laborales como del sistema socioeconómico en su conjunto, es la realizada por los investigadores del Instituto Sindical Europeo (ETUI, 2010) que han elaborado un índice compuesto (EPI: </w:t>
      </w:r>
      <w:proofErr w:type="spellStart"/>
      <w:r w:rsidRPr="00D509BC">
        <w:rPr>
          <w:rFonts w:ascii="Verdana" w:hAnsi="Verdana" w:cs="Arial"/>
        </w:rPr>
        <w:t>European</w:t>
      </w:r>
      <w:proofErr w:type="spellEnd"/>
      <w:r w:rsidRPr="00D509BC">
        <w:rPr>
          <w:rFonts w:ascii="Verdana" w:hAnsi="Verdana" w:cs="Arial"/>
        </w:rPr>
        <w:t xml:space="preserve"> </w:t>
      </w:r>
      <w:proofErr w:type="spellStart"/>
      <w:r w:rsidRPr="00D509BC">
        <w:rPr>
          <w:rFonts w:ascii="Verdana" w:hAnsi="Verdana" w:cs="Arial"/>
        </w:rPr>
        <w:t>Participation</w:t>
      </w:r>
      <w:proofErr w:type="spellEnd"/>
      <w:r w:rsidRPr="00D509BC">
        <w:rPr>
          <w:rFonts w:ascii="Verdana" w:hAnsi="Verdana" w:cs="Arial"/>
        </w:rPr>
        <w:t xml:space="preserve"> </w:t>
      </w:r>
      <w:proofErr w:type="spellStart"/>
      <w:r w:rsidRPr="00D509BC">
        <w:rPr>
          <w:rFonts w:ascii="Verdana" w:hAnsi="Verdana" w:cs="Arial"/>
        </w:rPr>
        <w:t>Index</w:t>
      </w:r>
      <w:proofErr w:type="spellEnd"/>
      <w:r w:rsidRPr="00D509BC">
        <w:rPr>
          <w:rFonts w:ascii="Verdana" w:hAnsi="Verdana" w:cs="Arial"/>
        </w:rPr>
        <w:t xml:space="preserve">) en el que, junto a los indicadores de intervención ya analizados (afiliación, representación, cobertura de la negociación colectiva), integran otros relativos a la gestión </w:t>
      </w:r>
      <w:proofErr w:type="spellStart"/>
      <w:r w:rsidRPr="00D509BC">
        <w:rPr>
          <w:rFonts w:ascii="Verdana" w:hAnsi="Verdana" w:cs="Arial"/>
        </w:rPr>
        <w:t>sociolaboral</w:t>
      </w:r>
      <w:proofErr w:type="spellEnd"/>
      <w:r w:rsidRPr="00D509BC">
        <w:rPr>
          <w:rFonts w:ascii="Verdana" w:hAnsi="Verdana" w:cs="Arial"/>
        </w:rPr>
        <w:t xml:space="preserve">, tales como las diferentes modalidades de </w:t>
      </w:r>
      <w:r w:rsidRPr="00D509BC">
        <w:rPr>
          <w:rFonts w:ascii="Verdana" w:hAnsi="Verdana" w:cs="Arial"/>
        </w:rPr>
        <w:lastRenderedPageBreak/>
        <w:t xml:space="preserve">participación institucional, </w:t>
      </w:r>
      <w:proofErr w:type="spellStart"/>
      <w:r w:rsidRPr="00D509BC">
        <w:rPr>
          <w:rFonts w:ascii="Verdana" w:hAnsi="Verdana" w:cs="Arial"/>
        </w:rPr>
        <w:t>codeterminación</w:t>
      </w:r>
      <w:proofErr w:type="spellEnd"/>
      <w:r w:rsidRPr="00D509BC">
        <w:rPr>
          <w:rFonts w:ascii="Verdana" w:hAnsi="Verdana" w:cs="Arial"/>
        </w:rPr>
        <w:t xml:space="preserve"> en las empresas y administración de recursos públicos y políticas de empleo, tanto activas como pasivas (Sistema </w:t>
      </w:r>
      <w:proofErr w:type="spellStart"/>
      <w:r w:rsidRPr="00D509BC">
        <w:rPr>
          <w:rFonts w:ascii="Verdana" w:hAnsi="Verdana" w:cs="Arial"/>
        </w:rPr>
        <w:t>Ghent</w:t>
      </w:r>
      <w:proofErr w:type="spellEnd"/>
      <w:r w:rsidRPr="00D509BC">
        <w:rPr>
          <w:rFonts w:ascii="Verdana" w:hAnsi="Verdana" w:cs="Arial"/>
        </w:rPr>
        <w:t>).</w:t>
      </w:r>
    </w:p>
    <w:p w:rsid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both"/>
        <w:rPr>
          <w:rFonts w:ascii="Verdana" w:hAnsi="Verdana" w:cs="Arial"/>
        </w:rPr>
      </w:pPr>
      <w:r w:rsidRPr="00D509BC">
        <w:rPr>
          <w:rFonts w:ascii="Verdana" w:hAnsi="Verdana" w:cs="Arial"/>
        </w:rPr>
        <w:t xml:space="preserve">Según dicho Índice, España se situaría en la franja media/alta entre los países de la UE en términos de representación y participación de sus trabajadores y sindicatos en las relaciones laborales. </w:t>
      </w:r>
    </w:p>
    <w:p w:rsid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both"/>
        <w:rPr>
          <w:rFonts w:ascii="Verdana" w:hAnsi="Verdana" w:cs="Arial"/>
        </w:rPr>
      </w:pPr>
      <w:r w:rsidRPr="00D509BC">
        <w:rPr>
          <w:rFonts w:ascii="Verdana" w:hAnsi="Verdana" w:cs="Arial"/>
        </w:rPr>
        <w:t xml:space="preserve">Asimismo, el estudio del ETUI analiza las relaciones entre el EPI y los niveles de cumplimiento de los principales objetivos de la </w:t>
      </w:r>
      <w:r w:rsidRPr="00D509BC">
        <w:rPr>
          <w:rFonts w:ascii="Verdana" w:hAnsi="Verdana" w:cs="Arial"/>
          <w:i/>
        </w:rPr>
        <w:t xml:space="preserve">Estrategia Europea 2020 </w:t>
      </w:r>
      <w:r w:rsidRPr="00D509BC">
        <w:rPr>
          <w:rFonts w:ascii="Verdana" w:hAnsi="Verdana" w:cs="Arial"/>
        </w:rPr>
        <w:t>(empleo, I+D, educación, exclusión social y sostenibilidad medioambiental), poniendo de manifiesto la existencia de una importante correlación positiva entre ambas dimensiones, lo que permite reivindicar la contribución decisiva del sindicalismo y la participación de los trabajadores a la modernización económica y la cohesión social, desmintiendo con ello las versiones interesadas que acusan a los sindicatos de anacrónicos y disfuncionales.</w:t>
      </w:r>
    </w:p>
    <w:p w:rsid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both"/>
        <w:rPr>
          <w:rFonts w:ascii="Verdana" w:hAnsi="Verdana" w:cs="Arial"/>
        </w:rPr>
      </w:pPr>
      <w:r w:rsidRPr="00D509BC">
        <w:rPr>
          <w:rFonts w:ascii="Verdana" w:hAnsi="Verdana" w:cs="Arial"/>
        </w:rPr>
        <w:t xml:space="preserve">Por otra parte, la ECS’2013 aporta información sobre la desigual tasa de cobertura de la representación de los trabajadores en las empresas, atendiendo al sector productivo y tamaño de las mismas, (tablas </w:t>
      </w:r>
      <w:r>
        <w:rPr>
          <w:rFonts w:ascii="Verdana" w:hAnsi="Verdana" w:cs="Arial"/>
        </w:rPr>
        <w:t>2</w:t>
      </w:r>
      <w:r w:rsidRPr="00D509BC">
        <w:rPr>
          <w:rFonts w:ascii="Verdana" w:hAnsi="Verdana" w:cs="Arial"/>
        </w:rPr>
        <w:t xml:space="preserve">.2 </w:t>
      </w:r>
      <w:r>
        <w:rPr>
          <w:rFonts w:ascii="Verdana" w:hAnsi="Verdana" w:cs="Arial"/>
        </w:rPr>
        <w:t>y 2</w:t>
      </w:r>
      <w:r w:rsidRPr="00D509BC">
        <w:rPr>
          <w:rFonts w:ascii="Verdana" w:hAnsi="Verdana" w:cs="Arial"/>
        </w:rPr>
        <w:t xml:space="preserve">.3), poniendo de manifiesto la existencia de pautas de representación similares en la mayoría de los países, con porcentajes mayores en el sector industrial (35,4%) que en los servicios (30,2%) y  que aumentan conforme lo hace el tamaño de las empresas, pasando de una tasa de cobertura de la representación del 26,5% de las pequeñas (de </w:t>
      </w:r>
      <w:smartTag w:uri="urn:schemas-microsoft-com:office:smarttags" w:element="metricconverter">
        <w:smartTagPr>
          <w:attr w:name="ProductID" w:val="10 a"/>
        </w:smartTagPr>
        <w:r w:rsidRPr="00D509BC">
          <w:rPr>
            <w:rFonts w:ascii="Verdana" w:hAnsi="Verdana" w:cs="Arial"/>
          </w:rPr>
          <w:t>10 a</w:t>
        </w:r>
      </w:smartTag>
      <w:r w:rsidRPr="00D509BC">
        <w:rPr>
          <w:rFonts w:ascii="Verdana" w:hAnsi="Verdana" w:cs="Arial"/>
        </w:rPr>
        <w:t xml:space="preserve"> 49 trabajadores), al 59,8% en las medianas (entre 50 y 249) hasta llegar al 82% entre las grandes empresas con una plantilla superior a los 250 trabajadores.</w:t>
      </w:r>
    </w:p>
    <w:p w:rsidR="00D509BC" w:rsidRP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center"/>
        <w:rPr>
          <w:rFonts w:ascii="Verdana" w:hAnsi="Verdana" w:cs="Arial"/>
        </w:rPr>
      </w:pPr>
      <w:r w:rsidRPr="00D509BC">
        <w:rPr>
          <w:rFonts w:ascii="Verdana" w:hAnsi="Verdana" w:cs="Arial"/>
        </w:rPr>
        <w:t xml:space="preserve">Tabla  </w:t>
      </w:r>
      <w:r>
        <w:rPr>
          <w:rFonts w:ascii="Verdana" w:hAnsi="Verdana" w:cs="Arial"/>
        </w:rPr>
        <w:t>2</w:t>
      </w:r>
      <w:r w:rsidRPr="00D509BC">
        <w:rPr>
          <w:rFonts w:ascii="Verdana" w:hAnsi="Verdana" w:cs="Arial"/>
        </w:rPr>
        <w:t>.2. Cobertura sectorial de la representación sindical en las empresas de la Unión Europea 2013 (en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43"/>
        <w:gridCol w:w="1122"/>
        <w:gridCol w:w="1116"/>
        <w:gridCol w:w="1288"/>
        <w:gridCol w:w="744"/>
        <w:gridCol w:w="1122"/>
        <w:gridCol w:w="1116"/>
      </w:tblGrid>
      <w:tr w:rsidR="00D509BC" w:rsidRPr="00D509BC" w:rsidTr="00D509BC">
        <w:tc>
          <w:tcPr>
            <w:tcW w:w="1333" w:type="dxa"/>
            <w:shd w:val="clear" w:color="auto" w:fill="D9D9D9"/>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 xml:space="preserve"> PAÍS</w:t>
            </w:r>
          </w:p>
        </w:tc>
        <w:tc>
          <w:tcPr>
            <w:tcW w:w="1029" w:type="dxa"/>
            <w:shd w:val="clear" w:color="auto" w:fill="D9D9D9"/>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Total</w:t>
            </w:r>
          </w:p>
        </w:tc>
        <w:tc>
          <w:tcPr>
            <w:tcW w:w="1038" w:type="dxa"/>
            <w:shd w:val="clear" w:color="auto" w:fill="D9D9D9"/>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Industria</w:t>
            </w:r>
          </w:p>
        </w:tc>
        <w:tc>
          <w:tcPr>
            <w:tcW w:w="1041" w:type="dxa"/>
            <w:shd w:val="clear" w:color="auto" w:fill="D9D9D9"/>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Servicios</w:t>
            </w:r>
          </w:p>
        </w:tc>
        <w:tc>
          <w:tcPr>
            <w:tcW w:w="1168" w:type="dxa"/>
            <w:shd w:val="clear" w:color="auto" w:fill="D9D9D9"/>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PAÍS</w:t>
            </w:r>
          </w:p>
        </w:tc>
        <w:tc>
          <w:tcPr>
            <w:tcW w:w="1030" w:type="dxa"/>
            <w:shd w:val="clear" w:color="auto" w:fill="D9D9D9"/>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Total</w:t>
            </w:r>
          </w:p>
        </w:tc>
        <w:tc>
          <w:tcPr>
            <w:tcW w:w="1039" w:type="dxa"/>
            <w:shd w:val="clear" w:color="auto" w:fill="D9D9D9"/>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Industria</w:t>
            </w:r>
          </w:p>
        </w:tc>
        <w:tc>
          <w:tcPr>
            <w:tcW w:w="1042" w:type="dxa"/>
            <w:shd w:val="clear" w:color="auto" w:fill="D9D9D9"/>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Servicios</w:t>
            </w:r>
          </w:p>
        </w:tc>
      </w:tr>
      <w:tr w:rsidR="00D509BC" w:rsidRPr="00D509BC" w:rsidTr="00D509BC">
        <w:tc>
          <w:tcPr>
            <w:tcW w:w="4441" w:type="dxa"/>
            <w:gridSpan w:val="4"/>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SISTEMA ESCANDINAVO</w:t>
            </w:r>
          </w:p>
        </w:tc>
        <w:tc>
          <w:tcPr>
            <w:tcW w:w="4279" w:type="dxa"/>
            <w:gridSpan w:val="4"/>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SISTEMA ANGLOSAJÓN</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Finlandia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70,3</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80,0</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65,1</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Inglaterra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16,2</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21,4</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15,0</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Dinamarca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79,7</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85,7</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77,8</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Irlanda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28,4</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39,6</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25,1</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Suecia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54,1</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66,6</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48,2</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Malta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14,1</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20,1</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12,0</w:t>
            </w:r>
          </w:p>
        </w:tc>
      </w:tr>
      <w:tr w:rsidR="00D509BC" w:rsidRPr="00D509BC" w:rsidTr="00D509BC">
        <w:tc>
          <w:tcPr>
            <w:tcW w:w="4441" w:type="dxa"/>
            <w:gridSpan w:val="4"/>
          </w:tcPr>
          <w:p w:rsidR="00D509BC" w:rsidRPr="00D509BC" w:rsidRDefault="00D509BC" w:rsidP="00D509BC">
            <w:pPr>
              <w:spacing w:after="0" w:line="240" w:lineRule="auto"/>
              <w:rPr>
                <w:rFonts w:ascii="Verdana" w:hAnsi="Verdana" w:cs="Arial"/>
                <w:sz w:val="20"/>
                <w:szCs w:val="20"/>
              </w:rPr>
            </w:pPr>
            <w:r w:rsidRPr="00D509BC">
              <w:rPr>
                <w:rFonts w:ascii="Verdana" w:hAnsi="Verdana" w:cs="Arial"/>
                <w:sz w:val="20"/>
                <w:szCs w:val="20"/>
              </w:rPr>
              <w:t>SISTEMA GERMÁNICO</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Chipre</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32,6</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47,1</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25,2</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Alemania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21,9</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26,1</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19,7</w:t>
            </w:r>
          </w:p>
        </w:tc>
        <w:tc>
          <w:tcPr>
            <w:tcW w:w="4279" w:type="dxa"/>
            <w:gridSpan w:val="4"/>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SISTEMA ORIENTAL</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Austria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25,5</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27,2</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24,7</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Bulgaria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26,1</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36,2</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18,9</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Bélgica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53,8</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61,8</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49,7</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Chequia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12,3</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13,3</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11,7</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Holanda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55,0</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53,7</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55,5</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Eslovaquia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37,7</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44,5</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33,6</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Luxemburgo</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56,5</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67,9</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51,9</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Estonia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37,2</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43,2</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33,1</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Eslovenia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39,0</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44,1</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34,8</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Hungría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15,6</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21,0</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12,0</w:t>
            </w:r>
          </w:p>
        </w:tc>
      </w:tr>
      <w:tr w:rsidR="00D509BC" w:rsidRPr="00D509BC" w:rsidTr="00D509BC">
        <w:tc>
          <w:tcPr>
            <w:tcW w:w="4441" w:type="dxa"/>
            <w:gridSpan w:val="4"/>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SISTEMA LATINO</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Letonia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9,3</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12,8</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7,6</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España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57,1</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60,3</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55,5</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Lituania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57,5</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77,7</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47,1</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Francia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55,1</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54,8</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55,3</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Polonia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24,1</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22,2</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25,7</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Grecia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13,7</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14,8</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13,2</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Rumanía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51,7</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67,1</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40,2</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Italia</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27,5</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30,4</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24,0</w:t>
            </w:r>
          </w:p>
        </w:tc>
        <w:tc>
          <w:tcPr>
            <w:tcW w:w="1168"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Croacia</w:t>
            </w:r>
          </w:p>
        </w:tc>
        <w:tc>
          <w:tcPr>
            <w:tcW w:w="1030"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23,5</w:t>
            </w:r>
          </w:p>
        </w:tc>
        <w:tc>
          <w:tcPr>
            <w:tcW w:w="103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27,0</w:t>
            </w:r>
          </w:p>
        </w:tc>
        <w:tc>
          <w:tcPr>
            <w:tcW w:w="1042"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21,0</w:t>
            </w:r>
          </w:p>
        </w:tc>
      </w:tr>
      <w:tr w:rsidR="00D509BC" w:rsidRPr="00D509BC" w:rsidTr="00D509BC">
        <w:tc>
          <w:tcPr>
            <w:tcW w:w="1333" w:type="dxa"/>
          </w:tcPr>
          <w:p w:rsidR="00D509BC" w:rsidRPr="00D509BC" w:rsidRDefault="00D509BC" w:rsidP="00D509BC">
            <w:pPr>
              <w:spacing w:after="0" w:line="240" w:lineRule="auto"/>
              <w:jc w:val="both"/>
              <w:rPr>
                <w:rFonts w:ascii="Verdana" w:hAnsi="Verdana" w:cs="Arial"/>
                <w:sz w:val="20"/>
                <w:szCs w:val="20"/>
              </w:rPr>
            </w:pPr>
            <w:r w:rsidRPr="00D509BC">
              <w:rPr>
                <w:rFonts w:ascii="Verdana" w:hAnsi="Verdana" w:cs="Arial"/>
                <w:sz w:val="20"/>
                <w:szCs w:val="20"/>
              </w:rPr>
              <w:t>Portugal</w:t>
            </w:r>
          </w:p>
        </w:tc>
        <w:tc>
          <w:tcPr>
            <w:tcW w:w="1029"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8,4</w:t>
            </w:r>
          </w:p>
        </w:tc>
        <w:tc>
          <w:tcPr>
            <w:tcW w:w="1038"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9,7</w:t>
            </w:r>
          </w:p>
        </w:tc>
        <w:tc>
          <w:tcPr>
            <w:tcW w:w="1041" w:type="dxa"/>
          </w:tcPr>
          <w:p w:rsidR="00D509BC" w:rsidRPr="00D509BC" w:rsidRDefault="00D509BC" w:rsidP="00D509BC">
            <w:pPr>
              <w:spacing w:after="0" w:line="240" w:lineRule="auto"/>
              <w:jc w:val="center"/>
              <w:rPr>
                <w:rFonts w:ascii="Verdana" w:hAnsi="Verdana" w:cs="Arial"/>
                <w:sz w:val="20"/>
                <w:szCs w:val="20"/>
              </w:rPr>
            </w:pPr>
            <w:r w:rsidRPr="00D509BC">
              <w:rPr>
                <w:rFonts w:ascii="Verdana" w:hAnsi="Verdana" w:cs="Arial"/>
                <w:sz w:val="20"/>
                <w:szCs w:val="20"/>
              </w:rPr>
              <w:t>7,2</w:t>
            </w:r>
          </w:p>
        </w:tc>
        <w:tc>
          <w:tcPr>
            <w:tcW w:w="1168" w:type="dxa"/>
          </w:tcPr>
          <w:p w:rsidR="00D509BC" w:rsidRPr="00D509BC" w:rsidRDefault="00D509BC" w:rsidP="00D509BC">
            <w:pPr>
              <w:spacing w:after="0" w:line="240" w:lineRule="auto"/>
              <w:jc w:val="both"/>
              <w:rPr>
                <w:rFonts w:ascii="Verdana" w:hAnsi="Verdana" w:cs="Arial"/>
                <w:b/>
                <w:sz w:val="20"/>
                <w:szCs w:val="20"/>
              </w:rPr>
            </w:pPr>
            <w:r w:rsidRPr="00D509BC">
              <w:rPr>
                <w:rFonts w:ascii="Verdana" w:hAnsi="Verdana" w:cs="Arial"/>
                <w:b/>
                <w:sz w:val="20"/>
                <w:szCs w:val="20"/>
              </w:rPr>
              <w:t>TOTAL UE</w:t>
            </w:r>
          </w:p>
        </w:tc>
        <w:tc>
          <w:tcPr>
            <w:tcW w:w="1030" w:type="dxa"/>
          </w:tcPr>
          <w:p w:rsidR="00D509BC" w:rsidRPr="00D509BC" w:rsidRDefault="00D509BC" w:rsidP="00D509BC">
            <w:pPr>
              <w:spacing w:after="0" w:line="240" w:lineRule="auto"/>
              <w:jc w:val="center"/>
              <w:rPr>
                <w:rFonts w:ascii="Verdana" w:hAnsi="Verdana" w:cs="Arial"/>
                <w:b/>
                <w:sz w:val="20"/>
                <w:szCs w:val="20"/>
              </w:rPr>
            </w:pPr>
            <w:r w:rsidRPr="00D509BC">
              <w:rPr>
                <w:rFonts w:ascii="Verdana" w:hAnsi="Verdana" w:cs="Arial"/>
                <w:b/>
                <w:sz w:val="20"/>
                <w:szCs w:val="20"/>
              </w:rPr>
              <w:t>32,1</w:t>
            </w:r>
          </w:p>
        </w:tc>
        <w:tc>
          <w:tcPr>
            <w:tcW w:w="1039" w:type="dxa"/>
          </w:tcPr>
          <w:p w:rsidR="00D509BC" w:rsidRPr="00D509BC" w:rsidRDefault="00D509BC" w:rsidP="00D509BC">
            <w:pPr>
              <w:spacing w:after="0" w:line="240" w:lineRule="auto"/>
              <w:jc w:val="center"/>
              <w:rPr>
                <w:rFonts w:ascii="Verdana" w:hAnsi="Verdana" w:cs="Arial"/>
                <w:b/>
                <w:sz w:val="20"/>
                <w:szCs w:val="20"/>
              </w:rPr>
            </w:pPr>
            <w:r w:rsidRPr="00D509BC">
              <w:rPr>
                <w:rFonts w:ascii="Verdana" w:hAnsi="Verdana" w:cs="Arial"/>
                <w:b/>
                <w:sz w:val="20"/>
                <w:szCs w:val="20"/>
              </w:rPr>
              <w:t>35,4</w:t>
            </w:r>
          </w:p>
        </w:tc>
        <w:tc>
          <w:tcPr>
            <w:tcW w:w="1042" w:type="dxa"/>
          </w:tcPr>
          <w:p w:rsidR="00D509BC" w:rsidRPr="00D509BC" w:rsidRDefault="00D509BC" w:rsidP="00D509BC">
            <w:pPr>
              <w:spacing w:after="0" w:line="240" w:lineRule="auto"/>
              <w:jc w:val="center"/>
              <w:rPr>
                <w:rFonts w:ascii="Verdana" w:hAnsi="Verdana" w:cs="Arial"/>
                <w:b/>
                <w:sz w:val="20"/>
                <w:szCs w:val="20"/>
              </w:rPr>
            </w:pPr>
            <w:r w:rsidRPr="00D509BC">
              <w:rPr>
                <w:rFonts w:ascii="Verdana" w:hAnsi="Verdana" w:cs="Arial"/>
                <w:b/>
                <w:sz w:val="20"/>
                <w:szCs w:val="20"/>
              </w:rPr>
              <w:t>30,2</w:t>
            </w:r>
          </w:p>
        </w:tc>
      </w:tr>
    </w:tbl>
    <w:p w:rsidR="00D509BC" w:rsidRPr="00D509BC" w:rsidRDefault="00D509BC" w:rsidP="00D509BC">
      <w:pPr>
        <w:spacing w:after="0" w:line="240" w:lineRule="auto"/>
        <w:jc w:val="center"/>
        <w:rPr>
          <w:rFonts w:ascii="Verdana" w:hAnsi="Verdana" w:cs="Arial"/>
          <w:i/>
          <w:sz w:val="20"/>
          <w:szCs w:val="20"/>
          <w:lang w:val="en-US"/>
        </w:rPr>
      </w:pPr>
      <w:r w:rsidRPr="00D509BC">
        <w:rPr>
          <w:rFonts w:ascii="Verdana" w:hAnsi="Verdana" w:cs="Arial"/>
          <w:sz w:val="20"/>
          <w:szCs w:val="20"/>
          <w:lang w:val="en-US"/>
        </w:rPr>
        <w:t xml:space="preserve">Fuente: </w:t>
      </w:r>
      <w:proofErr w:type="spellStart"/>
      <w:r w:rsidRPr="00D509BC">
        <w:rPr>
          <w:rFonts w:ascii="Verdana" w:hAnsi="Verdana" w:cs="Arial"/>
          <w:sz w:val="20"/>
          <w:szCs w:val="20"/>
          <w:lang w:val="en-US"/>
        </w:rPr>
        <w:t>Eurofound</w:t>
      </w:r>
      <w:proofErr w:type="spellEnd"/>
      <w:r w:rsidRPr="00D509BC">
        <w:rPr>
          <w:rFonts w:ascii="Verdana" w:hAnsi="Verdana" w:cs="Arial"/>
          <w:sz w:val="20"/>
          <w:szCs w:val="20"/>
          <w:lang w:val="en-US"/>
        </w:rPr>
        <w:t xml:space="preserve">, </w:t>
      </w:r>
      <w:r w:rsidRPr="00D509BC">
        <w:rPr>
          <w:rFonts w:ascii="Verdana" w:hAnsi="Verdana" w:cs="Arial"/>
          <w:i/>
          <w:sz w:val="20"/>
          <w:szCs w:val="20"/>
          <w:lang w:val="en-US"/>
        </w:rPr>
        <w:t>European Company Survey 2013</w:t>
      </w:r>
    </w:p>
    <w:p w:rsidR="00D509BC" w:rsidRPr="00D509BC" w:rsidRDefault="00D509BC" w:rsidP="00D509BC">
      <w:pPr>
        <w:spacing w:after="0" w:line="240" w:lineRule="auto"/>
        <w:jc w:val="both"/>
        <w:rPr>
          <w:rFonts w:ascii="Verdana" w:hAnsi="Verdana" w:cs="Arial"/>
          <w:i/>
          <w:lang w:val="en-US"/>
        </w:rPr>
      </w:pPr>
    </w:p>
    <w:p w:rsidR="00D509BC" w:rsidRPr="00D509BC" w:rsidRDefault="00D509BC" w:rsidP="00D509BC">
      <w:pPr>
        <w:spacing w:after="0" w:line="240" w:lineRule="auto"/>
        <w:jc w:val="both"/>
        <w:rPr>
          <w:rFonts w:ascii="Verdana" w:hAnsi="Verdana" w:cs="Arial"/>
          <w:lang w:val="en-US"/>
        </w:rPr>
      </w:pPr>
    </w:p>
    <w:p w:rsidR="00D509BC" w:rsidRDefault="00D509BC" w:rsidP="00D509BC">
      <w:pPr>
        <w:keepNext/>
        <w:keepLines/>
        <w:spacing w:after="0" w:line="240" w:lineRule="auto"/>
        <w:jc w:val="center"/>
        <w:rPr>
          <w:rFonts w:ascii="Verdana" w:hAnsi="Verdana" w:cs="Arial"/>
        </w:rPr>
      </w:pPr>
      <w:r w:rsidRPr="00D509BC">
        <w:rPr>
          <w:rFonts w:ascii="Verdana" w:hAnsi="Verdana" w:cs="Arial"/>
        </w:rPr>
        <w:lastRenderedPageBreak/>
        <w:t xml:space="preserve">Tabla </w:t>
      </w:r>
      <w:r>
        <w:rPr>
          <w:rFonts w:ascii="Verdana" w:hAnsi="Verdana" w:cs="Arial"/>
        </w:rPr>
        <w:t>2</w:t>
      </w:r>
      <w:r w:rsidRPr="00D509BC">
        <w:rPr>
          <w:rFonts w:ascii="Verdana" w:hAnsi="Verdana" w:cs="Arial"/>
        </w:rPr>
        <w:t>.3. Cobertura de la representación sindical en las empresas de la Unión Europea 2013, según tamaño de la empresa (en %)</w:t>
      </w:r>
    </w:p>
    <w:p w:rsidR="00D509BC" w:rsidRPr="00D509BC" w:rsidRDefault="00D509BC" w:rsidP="00D509BC">
      <w:pPr>
        <w:keepNext/>
        <w:keepLines/>
        <w:spacing w:after="0" w:line="240" w:lineRule="auto"/>
        <w:jc w:val="cente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81"/>
        <w:gridCol w:w="989"/>
        <w:gridCol w:w="1004"/>
        <w:gridCol w:w="1288"/>
        <w:gridCol w:w="988"/>
        <w:gridCol w:w="996"/>
        <w:gridCol w:w="1005"/>
      </w:tblGrid>
      <w:tr w:rsidR="00D509BC" w:rsidRPr="00D509BC" w:rsidTr="00D509BC">
        <w:tc>
          <w:tcPr>
            <w:tcW w:w="1333" w:type="dxa"/>
            <w:shd w:val="clear" w:color="auto" w:fill="D9D9D9"/>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 xml:space="preserve"> PAÍS</w:t>
            </w:r>
          </w:p>
        </w:tc>
        <w:tc>
          <w:tcPr>
            <w:tcW w:w="1029" w:type="dxa"/>
            <w:shd w:val="clear" w:color="auto" w:fill="D9D9D9"/>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10-49</w:t>
            </w:r>
          </w:p>
        </w:tc>
        <w:tc>
          <w:tcPr>
            <w:tcW w:w="1038" w:type="dxa"/>
            <w:shd w:val="clear" w:color="auto" w:fill="D9D9D9"/>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50-249</w:t>
            </w:r>
          </w:p>
        </w:tc>
        <w:tc>
          <w:tcPr>
            <w:tcW w:w="1041" w:type="dxa"/>
            <w:shd w:val="clear" w:color="auto" w:fill="D9D9D9"/>
          </w:tcPr>
          <w:p w:rsidR="00D509BC" w:rsidRPr="00D509BC" w:rsidRDefault="00D509BC" w:rsidP="00D509BC">
            <w:pPr>
              <w:keepNext/>
              <w:keepLines/>
              <w:spacing w:after="0" w:line="240" w:lineRule="auto"/>
              <w:rPr>
                <w:rFonts w:ascii="Verdana" w:hAnsi="Verdana" w:cs="Arial"/>
                <w:sz w:val="20"/>
                <w:szCs w:val="20"/>
              </w:rPr>
            </w:pPr>
            <w:r w:rsidRPr="00D509BC">
              <w:rPr>
                <w:rFonts w:ascii="Verdana" w:hAnsi="Verdana" w:cs="Arial"/>
                <w:sz w:val="20"/>
                <w:szCs w:val="20"/>
              </w:rPr>
              <w:t>+250</w:t>
            </w:r>
          </w:p>
        </w:tc>
        <w:tc>
          <w:tcPr>
            <w:tcW w:w="1168" w:type="dxa"/>
            <w:shd w:val="clear" w:color="auto" w:fill="D9D9D9"/>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PAÍS</w:t>
            </w:r>
          </w:p>
        </w:tc>
        <w:tc>
          <w:tcPr>
            <w:tcW w:w="1030" w:type="dxa"/>
            <w:shd w:val="clear" w:color="auto" w:fill="D9D9D9"/>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10-49</w:t>
            </w:r>
          </w:p>
        </w:tc>
        <w:tc>
          <w:tcPr>
            <w:tcW w:w="1039" w:type="dxa"/>
            <w:shd w:val="clear" w:color="auto" w:fill="D9D9D9"/>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50-249</w:t>
            </w:r>
          </w:p>
        </w:tc>
        <w:tc>
          <w:tcPr>
            <w:tcW w:w="1042" w:type="dxa"/>
            <w:shd w:val="clear" w:color="auto" w:fill="D9D9D9"/>
          </w:tcPr>
          <w:p w:rsidR="00D509BC" w:rsidRPr="00D509BC" w:rsidRDefault="00D509BC" w:rsidP="00D509BC">
            <w:pPr>
              <w:keepNext/>
              <w:keepLines/>
              <w:spacing w:after="0" w:line="240" w:lineRule="auto"/>
              <w:rPr>
                <w:rFonts w:ascii="Verdana" w:hAnsi="Verdana" w:cs="Arial"/>
                <w:sz w:val="20"/>
                <w:szCs w:val="20"/>
              </w:rPr>
            </w:pPr>
            <w:r w:rsidRPr="00D509BC">
              <w:rPr>
                <w:rFonts w:ascii="Verdana" w:hAnsi="Verdana" w:cs="Arial"/>
                <w:sz w:val="20"/>
                <w:szCs w:val="20"/>
              </w:rPr>
              <w:t>+250</w:t>
            </w:r>
          </w:p>
        </w:tc>
      </w:tr>
      <w:tr w:rsidR="00D509BC" w:rsidRPr="00D509BC" w:rsidTr="00D509BC">
        <w:tc>
          <w:tcPr>
            <w:tcW w:w="4441" w:type="dxa"/>
            <w:gridSpan w:val="4"/>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SISTEMA ESCANDINAVO</w:t>
            </w:r>
          </w:p>
        </w:tc>
        <w:tc>
          <w:tcPr>
            <w:tcW w:w="4279" w:type="dxa"/>
            <w:gridSpan w:val="4"/>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SISTEMA ANGLOSAJÓN</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Finlandia</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67,8</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95,3</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100,</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Inglaterra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11,2</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36,0</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60,9</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Dinamarca</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77,3</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94,8</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98,5</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Irlanda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24,5</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52,1</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79,5</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Suecia</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48,3</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81,3</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92,7</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Malta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10,0</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23,5</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66,1</w:t>
            </w:r>
          </w:p>
        </w:tc>
      </w:tr>
      <w:tr w:rsidR="00D509BC" w:rsidRPr="00D509BC" w:rsidTr="00D509BC">
        <w:tc>
          <w:tcPr>
            <w:tcW w:w="4441" w:type="dxa"/>
            <w:gridSpan w:val="4"/>
          </w:tcPr>
          <w:p w:rsidR="00D509BC" w:rsidRPr="00D509BC" w:rsidRDefault="00D509BC" w:rsidP="00D509BC">
            <w:pPr>
              <w:keepNext/>
              <w:keepLines/>
              <w:spacing w:after="0" w:line="240" w:lineRule="auto"/>
              <w:rPr>
                <w:rFonts w:ascii="Verdana" w:hAnsi="Verdana" w:cs="Arial"/>
                <w:sz w:val="20"/>
                <w:szCs w:val="20"/>
              </w:rPr>
            </w:pPr>
            <w:r w:rsidRPr="00D509BC">
              <w:rPr>
                <w:rFonts w:ascii="Verdana" w:hAnsi="Verdana" w:cs="Arial"/>
                <w:sz w:val="20"/>
                <w:szCs w:val="20"/>
              </w:rPr>
              <w:t>SISTEMA GERMÁNICO</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Chipre</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31,0</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50,2</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61,0</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Alemania</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12,7</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52,4</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82,7</w:t>
            </w:r>
          </w:p>
        </w:tc>
        <w:tc>
          <w:tcPr>
            <w:tcW w:w="4279" w:type="dxa"/>
            <w:gridSpan w:val="4"/>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SISTEMA ORIENTAL</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Austria</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18,5</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58,6</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89,2</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Bulgaria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18,2</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58,3</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76,8</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Bélgica</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47,2</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82,7</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98,3</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Chequia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7,1</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30,9</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65,4</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Holanda</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48,6</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80,7</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96,4</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Eslovaquia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35,2</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56,6</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72,5</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Luxemburgo</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50,0</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90,2</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87,5</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Estonia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34,9</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49,9</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60,6</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Eslovenia</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30,1</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76,2</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91,4</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Hungría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11,0</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45,4</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80,7</w:t>
            </w:r>
          </w:p>
        </w:tc>
      </w:tr>
      <w:tr w:rsidR="00D509BC" w:rsidRPr="00D509BC" w:rsidTr="00D509BC">
        <w:tc>
          <w:tcPr>
            <w:tcW w:w="4441" w:type="dxa"/>
            <w:gridSpan w:val="4"/>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SISTEMA LATINO</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Letonia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6,4</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21,8</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31,1</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España</w:t>
            </w:r>
          </w:p>
        </w:tc>
        <w:tc>
          <w:tcPr>
            <w:tcW w:w="1029"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52,8</w:t>
            </w:r>
          </w:p>
        </w:tc>
        <w:tc>
          <w:tcPr>
            <w:tcW w:w="1038"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81,5</w:t>
            </w:r>
          </w:p>
        </w:tc>
        <w:tc>
          <w:tcPr>
            <w:tcW w:w="1041" w:type="dxa"/>
          </w:tcPr>
          <w:p w:rsidR="00D509BC" w:rsidRPr="00D509BC" w:rsidRDefault="00D509BC" w:rsidP="00D509BC">
            <w:pPr>
              <w:keepNext/>
              <w:keepLines/>
              <w:spacing w:after="0" w:line="240" w:lineRule="auto"/>
              <w:jc w:val="center"/>
              <w:rPr>
                <w:rFonts w:ascii="Verdana" w:hAnsi="Verdana" w:cs="Arial"/>
                <w:sz w:val="20"/>
                <w:szCs w:val="20"/>
              </w:rPr>
            </w:pPr>
            <w:r w:rsidRPr="00D509BC">
              <w:rPr>
                <w:rFonts w:ascii="Verdana" w:hAnsi="Verdana" w:cs="Arial"/>
                <w:sz w:val="20"/>
                <w:szCs w:val="20"/>
              </w:rPr>
              <w:t>93,3</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Lituania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54,0</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71,8</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92,3</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Francia</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48,2</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89,3</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97,1</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Polonia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17,7</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60,7</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81,7</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Grecia</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11,9</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31,4</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48,3</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Rumanía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43,8</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89,7</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92,5</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Italia</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24,4</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62,9</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85,7</w:t>
            </w:r>
          </w:p>
        </w:tc>
        <w:tc>
          <w:tcPr>
            <w:tcW w:w="1168"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Croacia</w:t>
            </w:r>
          </w:p>
        </w:tc>
        <w:tc>
          <w:tcPr>
            <w:tcW w:w="1030"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14,3</w:t>
            </w:r>
          </w:p>
        </w:tc>
        <w:tc>
          <w:tcPr>
            <w:tcW w:w="103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54,7</w:t>
            </w:r>
          </w:p>
        </w:tc>
        <w:tc>
          <w:tcPr>
            <w:tcW w:w="1042"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86,1</w:t>
            </w:r>
          </w:p>
        </w:tc>
      </w:tr>
      <w:tr w:rsidR="00D509BC" w:rsidRPr="00D509BC" w:rsidTr="00D509BC">
        <w:tc>
          <w:tcPr>
            <w:tcW w:w="1333" w:type="dxa"/>
          </w:tcPr>
          <w:p w:rsidR="00D509BC" w:rsidRPr="00D509BC" w:rsidRDefault="00D509BC" w:rsidP="00D509BC">
            <w:pPr>
              <w:keepNext/>
              <w:keepLines/>
              <w:spacing w:after="0" w:line="240" w:lineRule="auto"/>
              <w:jc w:val="both"/>
              <w:rPr>
                <w:rFonts w:ascii="Verdana" w:hAnsi="Verdana" w:cs="Arial"/>
                <w:sz w:val="20"/>
                <w:szCs w:val="20"/>
              </w:rPr>
            </w:pPr>
            <w:r w:rsidRPr="00D509BC">
              <w:rPr>
                <w:rFonts w:ascii="Verdana" w:hAnsi="Verdana" w:cs="Arial"/>
                <w:sz w:val="20"/>
                <w:szCs w:val="20"/>
              </w:rPr>
              <w:t>Portugal</w:t>
            </w:r>
          </w:p>
        </w:tc>
        <w:tc>
          <w:tcPr>
            <w:tcW w:w="1029"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5,9</w:t>
            </w:r>
          </w:p>
        </w:tc>
        <w:tc>
          <w:tcPr>
            <w:tcW w:w="1038"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24,6</w:t>
            </w:r>
          </w:p>
        </w:tc>
        <w:tc>
          <w:tcPr>
            <w:tcW w:w="1041" w:type="dxa"/>
          </w:tcPr>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62,4</w:t>
            </w:r>
          </w:p>
        </w:tc>
        <w:tc>
          <w:tcPr>
            <w:tcW w:w="1168" w:type="dxa"/>
          </w:tcPr>
          <w:p w:rsidR="00D509BC" w:rsidRPr="00D509BC" w:rsidRDefault="00D509BC" w:rsidP="00D509BC">
            <w:pPr>
              <w:keepNext/>
              <w:keepLines/>
              <w:spacing w:after="0" w:line="240" w:lineRule="auto"/>
              <w:jc w:val="both"/>
              <w:rPr>
                <w:rFonts w:ascii="Verdana" w:hAnsi="Verdana" w:cs="Arial"/>
                <w:b/>
                <w:sz w:val="20"/>
                <w:szCs w:val="20"/>
              </w:rPr>
            </w:pPr>
            <w:r w:rsidRPr="00D509BC">
              <w:rPr>
                <w:rFonts w:ascii="Verdana" w:hAnsi="Verdana" w:cs="Arial"/>
                <w:b/>
                <w:sz w:val="20"/>
                <w:szCs w:val="20"/>
              </w:rPr>
              <w:t>TOTAL UE</w:t>
            </w:r>
          </w:p>
        </w:tc>
        <w:tc>
          <w:tcPr>
            <w:tcW w:w="1030" w:type="dxa"/>
          </w:tcPr>
          <w:p w:rsidR="00D509BC" w:rsidRPr="00D509BC" w:rsidRDefault="00D509BC" w:rsidP="00D509BC">
            <w:pPr>
              <w:keepNext/>
              <w:keepLines/>
              <w:spacing w:after="0" w:line="240" w:lineRule="auto"/>
              <w:jc w:val="center"/>
              <w:rPr>
                <w:rFonts w:ascii="Verdana" w:hAnsi="Verdana"/>
                <w:b/>
                <w:sz w:val="20"/>
                <w:szCs w:val="20"/>
              </w:rPr>
            </w:pPr>
            <w:r w:rsidRPr="00D509BC">
              <w:rPr>
                <w:rFonts w:ascii="Verdana" w:hAnsi="Verdana"/>
                <w:b/>
                <w:sz w:val="20"/>
                <w:szCs w:val="20"/>
              </w:rPr>
              <w:t>26,5</w:t>
            </w:r>
          </w:p>
        </w:tc>
        <w:tc>
          <w:tcPr>
            <w:tcW w:w="1039" w:type="dxa"/>
          </w:tcPr>
          <w:p w:rsidR="00D509BC" w:rsidRPr="00D509BC" w:rsidRDefault="00D509BC" w:rsidP="00D509BC">
            <w:pPr>
              <w:keepNext/>
              <w:keepLines/>
              <w:spacing w:after="0" w:line="240" w:lineRule="auto"/>
              <w:jc w:val="center"/>
              <w:rPr>
                <w:rFonts w:ascii="Verdana" w:hAnsi="Verdana"/>
                <w:b/>
                <w:sz w:val="20"/>
                <w:szCs w:val="20"/>
              </w:rPr>
            </w:pPr>
            <w:r w:rsidRPr="00D509BC">
              <w:rPr>
                <w:rFonts w:ascii="Verdana" w:hAnsi="Verdana"/>
                <w:b/>
                <w:sz w:val="20"/>
                <w:szCs w:val="20"/>
              </w:rPr>
              <w:t>59,8</w:t>
            </w:r>
          </w:p>
        </w:tc>
        <w:tc>
          <w:tcPr>
            <w:tcW w:w="1042" w:type="dxa"/>
          </w:tcPr>
          <w:p w:rsidR="00D509BC" w:rsidRPr="00D509BC" w:rsidRDefault="00D509BC" w:rsidP="00D509BC">
            <w:pPr>
              <w:keepNext/>
              <w:keepLines/>
              <w:spacing w:after="0" w:line="240" w:lineRule="auto"/>
              <w:jc w:val="center"/>
              <w:rPr>
                <w:rFonts w:ascii="Verdana" w:hAnsi="Verdana"/>
                <w:b/>
                <w:sz w:val="20"/>
                <w:szCs w:val="20"/>
              </w:rPr>
            </w:pPr>
            <w:r w:rsidRPr="00D509BC">
              <w:rPr>
                <w:rFonts w:ascii="Verdana" w:hAnsi="Verdana"/>
                <w:b/>
                <w:sz w:val="20"/>
                <w:szCs w:val="20"/>
              </w:rPr>
              <w:t>82,0</w:t>
            </w:r>
          </w:p>
        </w:tc>
      </w:tr>
    </w:tbl>
    <w:p w:rsidR="00D509BC" w:rsidRPr="00D509BC" w:rsidRDefault="00D509BC" w:rsidP="00D509BC">
      <w:pPr>
        <w:keepNext/>
        <w:keepLines/>
        <w:spacing w:after="0" w:line="240" w:lineRule="auto"/>
        <w:jc w:val="center"/>
        <w:rPr>
          <w:rFonts w:ascii="Verdana" w:hAnsi="Verdana" w:cs="Arial"/>
          <w:i/>
          <w:sz w:val="20"/>
          <w:szCs w:val="20"/>
          <w:lang w:val="en-US"/>
        </w:rPr>
      </w:pPr>
      <w:r w:rsidRPr="00D509BC">
        <w:rPr>
          <w:rFonts w:ascii="Verdana" w:hAnsi="Verdana" w:cs="Arial"/>
          <w:sz w:val="20"/>
          <w:szCs w:val="20"/>
          <w:lang w:val="en-US"/>
        </w:rPr>
        <w:t>Fuente</w:t>
      </w:r>
      <w:proofErr w:type="gramStart"/>
      <w:r w:rsidRPr="00D509BC">
        <w:rPr>
          <w:rFonts w:ascii="Verdana" w:hAnsi="Verdana" w:cs="Arial"/>
          <w:sz w:val="20"/>
          <w:szCs w:val="20"/>
          <w:lang w:val="en-US"/>
        </w:rPr>
        <w:t>.-</w:t>
      </w:r>
      <w:proofErr w:type="gramEnd"/>
      <w:r w:rsidRPr="00D509BC">
        <w:rPr>
          <w:rFonts w:ascii="Verdana" w:hAnsi="Verdana" w:cs="Arial"/>
          <w:sz w:val="20"/>
          <w:szCs w:val="20"/>
          <w:lang w:val="en-US"/>
        </w:rPr>
        <w:t xml:space="preserve"> </w:t>
      </w:r>
      <w:proofErr w:type="spellStart"/>
      <w:r w:rsidRPr="00D509BC">
        <w:rPr>
          <w:rFonts w:ascii="Verdana" w:hAnsi="Verdana" w:cs="Arial"/>
          <w:sz w:val="20"/>
          <w:szCs w:val="20"/>
          <w:lang w:val="en-US"/>
        </w:rPr>
        <w:t>Eurofound</w:t>
      </w:r>
      <w:proofErr w:type="spellEnd"/>
      <w:r w:rsidRPr="00D509BC">
        <w:rPr>
          <w:rFonts w:ascii="Verdana" w:hAnsi="Verdana" w:cs="Arial"/>
          <w:sz w:val="20"/>
          <w:szCs w:val="20"/>
          <w:lang w:val="en-US"/>
        </w:rPr>
        <w:t xml:space="preserve">: </w:t>
      </w:r>
      <w:r w:rsidRPr="00D509BC">
        <w:rPr>
          <w:rFonts w:ascii="Verdana" w:hAnsi="Verdana" w:cs="Arial"/>
          <w:i/>
          <w:sz w:val="20"/>
          <w:szCs w:val="20"/>
          <w:lang w:val="en-US"/>
        </w:rPr>
        <w:t>European Company Survey 2013</w:t>
      </w:r>
    </w:p>
    <w:p w:rsidR="00D509BC" w:rsidRPr="00D509BC" w:rsidRDefault="00D509BC" w:rsidP="00D509BC">
      <w:pPr>
        <w:spacing w:after="0" w:line="240" w:lineRule="auto"/>
        <w:jc w:val="both"/>
        <w:rPr>
          <w:rFonts w:ascii="Verdana" w:hAnsi="Verdana" w:cs="Arial"/>
          <w:i/>
          <w:lang w:val="en-US"/>
        </w:rPr>
      </w:pPr>
    </w:p>
    <w:p w:rsidR="00D509BC" w:rsidRPr="00D509BC" w:rsidRDefault="00D509BC" w:rsidP="00D509BC">
      <w:pPr>
        <w:spacing w:after="0" w:line="240" w:lineRule="auto"/>
        <w:jc w:val="both"/>
        <w:rPr>
          <w:rFonts w:ascii="Verdana" w:hAnsi="Verdana" w:cs="Arial"/>
          <w:lang w:val="en-US"/>
        </w:rPr>
      </w:pPr>
    </w:p>
    <w:p w:rsidR="00D509BC" w:rsidRPr="00D509BC" w:rsidRDefault="00D509BC" w:rsidP="00D509BC">
      <w:pPr>
        <w:spacing w:after="0" w:line="240" w:lineRule="auto"/>
        <w:jc w:val="both"/>
        <w:rPr>
          <w:rFonts w:ascii="Verdana" w:hAnsi="Verdana" w:cs="Arial"/>
          <w:b/>
        </w:rPr>
      </w:pPr>
      <w:r w:rsidRPr="00D509BC">
        <w:rPr>
          <w:rFonts w:ascii="Verdana" w:hAnsi="Verdana" w:cs="Arial"/>
        </w:rPr>
        <w:t>Del análisis comparado de los datos nacionales aportados por la ECS’2013, se desprende que España se sitúa entre los países con mayor tasa de cobertura de la representación sindical en las empresas, con un 57,1%, muy por encima de la media y próxima a los niveles de representación de los países escandinavos, datos que coinciden</w:t>
      </w:r>
      <w:r w:rsidRPr="00D509BC">
        <w:rPr>
          <w:rFonts w:ascii="Verdana" w:hAnsi="Verdana" w:cs="Arial"/>
          <w:b/>
        </w:rPr>
        <w:t xml:space="preserve"> </w:t>
      </w:r>
      <w:r w:rsidRPr="00D509BC">
        <w:rPr>
          <w:rFonts w:ascii="Verdana" w:hAnsi="Verdana" w:cs="Arial"/>
          <w:noProof/>
          <w:lang w:eastAsia="es-ES"/>
        </w:rPr>
        <w:t xml:space="preserve">con los aportados, para los mismos segmentos de empresa, por la última </w:t>
      </w:r>
      <w:r w:rsidRPr="00D509BC">
        <w:rPr>
          <w:rFonts w:ascii="Verdana" w:hAnsi="Verdana" w:cs="Arial"/>
          <w:i/>
          <w:noProof/>
          <w:lang w:eastAsia="es-ES"/>
        </w:rPr>
        <w:t>Encuesta de Calidad de Vida en el Trabajo</w:t>
      </w:r>
      <w:r w:rsidRPr="00D509BC">
        <w:rPr>
          <w:rFonts w:ascii="Verdana" w:hAnsi="Verdana" w:cs="Arial"/>
          <w:noProof/>
          <w:lang w:eastAsia="es-ES"/>
        </w:rPr>
        <w:t xml:space="preserve"> (ECVT’2010) realizada por el Ministerio de Empleo.</w:t>
      </w:r>
    </w:p>
    <w:p w:rsidR="00D509BC" w:rsidRPr="00D509BC" w:rsidRDefault="00D509BC" w:rsidP="00D509BC">
      <w:pPr>
        <w:keepNext/>
        <w:keepLines/>
        <w:spacing w:after="0" w:line="240" w:lineRule="auto"/>
        <w:rPr>
          <w:rFonts w:ascii="Verdana" w:hAnsi="Verdana"/>
        </w:rPr>
      </w:pPr>
    </w:p>
    <w:p w:rsidR="00D509BC" w:rsidRPr="00D509BC" w:rsidRDefault="00D509BC" w:rsidP="00D509BC">
      <w:pPr>
        <w:keepNext/>
        <w:keepLines/>
        <w:spacing w:after="0" w:line="240" w:lineRule="auto"/>
        <w:jc w:val="center"/>
        <w:rPr>
          <w:rFonts w:ascii="Verdana" w:hAnsi="Verdana"/>
        </w:rPr>
      </w:pPr>
      <w:r>
        <w:rPr>
          <w:rFonts w:ascii="Verdana" w:hAnsi="Verdana"/>
        </w:rPr>
        <w:t>Tabla 2</w:t>
      </w:r>
      <w:r w:rsidRPr="00D509BC">
        <w:rPr>
          <w:rFonts w:ascii="Verdana" w:hAnsi="Verdana"/>
        </w:rPr>
        <w:t>.4. Porcentaje estimado de representantes de los trabajadores que son miembros de un sindicato, 2009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26"/>
        <w:gridCol w:w="819"/>
        <w:gridCol w:w="653"/>
        <w:gridCol w:w="985"/>
        <w:gridCol w:w="985"/>
        <w:gridCol w:w="985"/>
        <w:gridCol w:w="1087"/>
        <w:gridCol w:w="622"/>
        <w:gridCol w:w="634"/>
        <w:gridCol w:w="548"/>
      </w:tblGrid>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eastAsia="es-ES"/>
              </w:rPr>
            </w:pPr>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proofErr w:type="spellStart"/>
            <w:r w:rsidRPr="00D509BC">
              <w:rPr>
                <w:rFonts w:ascii="Verdana" w:hAnsi="Verdana" w:cs="Calibri"/>
                <w:b/>
                <w:color w:val="000000"/>
                <w:sz w:val="20"/>
                <w:szCs w:val="20"/>
                <w:lang w:val="en-US" w:eastAsia="es-ES"/>
              </w:rPr>
              <w:t>Ninguno</w:t>
            </w:r>
            <w:proofErr w:type="spellEnd"/>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&lt;20%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20%-40%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40%-60%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60%-80%</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80%-100%</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proofErr w:type="spellStart"/>
            <w:r w:rsidRPr="00D509BC">
              <w:rPr>
                <w:rFonts w:ascii="Verdana" w:hAnsi="Verdana" w:cs="Calibri"/>
                <w:b/>
                <w:color w:val="000000"/>
                <w:sz w:val="20"/>
                <w:szCs w:val="20"/>
                <w:lang w:val="en-US" w:eastAsia="es-ES"/>
              </w:rPr>
              <w:t>Todos</w:t>
            </w:r>
            <w:proofErr w:type="spellEnd"/>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Ns/</w:t>
            </w:r>
            <w:proofErr w:type="spellStart"/>
            <w:r w:rsidRPr="00D509BC">
              <w:rPr>
                <w:rFonts w:ascii="Verdana" w:hAnsi="Verdana" w:cs="Calibri"/>
                <w:b/>
                <w:color w:val="000000"/>
                <w:sz w:val="20"/>
                <w:szCs w:val="20"/>
                <w:lang w:val="en-US" w:eastAsia="es-ES"/>
              </w:rPr>
              <w:t>nc</w:t>
            </w:r>
            <w:proofErr w:type="spellEnd"/>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Total</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Bélgica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1,7</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10,8</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16,0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14,3</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18,8</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31,7</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3,5</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3,1</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Dinamarca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1,5</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1,5</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9,6</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37,1</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41,6</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2,0</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Alemania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11,6</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36,2</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22,6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10,2</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2,7</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0,9</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3,8</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Grecia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3,9</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10,5</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3,9</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6,6</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30,3</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34,2</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3,9</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b/>
                <w:color w:val="000000"/>
                <w:sz w:val="20"/>
                <w:szCs w:val="20"/>
                <w:lang w:val="en-US" w:eastAsia="es-ES"/>
              </w:rPr>
            </w:pPr>
            <w:proofErr w:type="spellStart"/>
            <w:r w:rsidRPr="00D509BC">
              <w:rPr>
                <w:rFonts w:ascii="Verdana" w:hAnsi="Verdana" w:cs="Calibri"/>
                <w:b/>
                <w:color w:val="000000"/>
                <w:sz w:val="20"/>
                <w:szCs w:val="20"/>
                <w:lang w:val="en-US" w:eastAsia="es-ES"/>
              </w:rPr>
              <w:t>España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rPr>
              <w:t>12,3</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rPr>
              <w:t>39,5</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rPr>
              <w:t>19,7</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rPr>
              <w:t>6,1</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rPr>
              <w:t>6,9</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rPr>
              <w:t>5,1</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rPr>
              <w:t>1,1</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rPr>
              <w:t>9,3</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Finlandia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3,9</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8,3</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16,1</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53,6</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15,6</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Francia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22,2</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43,8</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17,9</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6,1</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1,8</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0,2</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0,5</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7,5</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Irlanda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9,7</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8,6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6,5</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8,6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21,5</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36,6</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8,6</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Italia</w:t>
            </w:r>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1,6</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15,0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21,6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23,1</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21,3</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11,3</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2,2</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4,1</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Luxemburgo</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9,1</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28,0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18,9</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12,8</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10,4</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6,1</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2,4</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12,2</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Holanda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3,6</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33,3</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29,7</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13,3</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9,6</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2,8</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7,6</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s="Calibri"/>
                    <w:color w:val="000000"/>
                    <w:sz w:val="20"/>
                    <w:szCs w:val="20"/>
                    <w:lang w:val="en-US" w:eastAsia="es-ES"/>
                  </w:rPr>
                  <w:t>Austria</w:t>
                </w:r>
              </w:smartTag>
            </w:smartTag>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2,4</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20,5</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16,1</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16,1</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18,0</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19,5</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3,4</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3,9</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s="Calibri"/>
                    <w:color w:val="000000"/>
                    <w:sz w:val="20"/>
                    <w:szCs w:val="20"/>
                    <w:lang w:val="en-US" w:eastAsia="es-ES"/>
                  </w:rPr>
                  <w:t>Portugal</w:t>
                </w:r>
              </w:smartTag>
            </w:smartTag>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7,7</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15,4</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15,4</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25,6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25,6</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5,1</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2,6</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2,6</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Suecia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0,4</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0,7</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2,4</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7,0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13,7</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54,9</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18,9</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2,0</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Reino</w:t>
            </w:r>
            <w:proofErr w:type="spellEnd"/>
            <w:r w:rsidRPr="00D509BC">
              <w:rPr>
                <w:rFonts w:ascii="Verdana" w:hAnsi="Verdana" w:cs="Calibri"/>
                <w:color w:val="000000"/>
                <w:sz w:val="20"/>
                <w:szCs w:val="20"/>
                <w:lang w:val="en-US" w:eastAsia="es-ES"/>
              </w:rPr>
              <w:t xml:space="preserve"> </w:t>
            </w:r>
            <w:proofErr w:type="spellStart"/>
            <w:r w:rsidRPr="00D509BC">
              <w:rPr>
                <w:rFonts w:ascii="Verdana" w:hAnsi="Verdana" w:cs="Calibri"/>
                <w:color w:val="000000"/>
                <w:sz w:val="20"/>
                <w:szCs w:val="20"/>
                <w:lang w:val="en-US" w:eastAsia="es-ES"/>
              </w:rPr>
              <w:t>Unido</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20,5</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9,6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20,5</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18,7</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12,0</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2,4</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4,2</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s="Calibri"/>
                    <w:color w:val="000000"/>
                    <w:sz w:val="20"/>
                    <w:szCs w:val="20"/>
                    <w:lang w:val="en-US" w:eastAsia="es-ES"/>
                  </w:rPr>
                  <w:t>Bulgaria</w:t>
                </w:r>
              </w:smartTag>
            </w:smartTag>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24,2</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9,4</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8,6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9,4</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10,2</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25,0</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10,2</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3,1</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Chipre</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8,3</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6,7</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6,7</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31,7</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46,7</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República</w:t>
            </w:r>
            <w:proofErr w:type="spellEnd"/>
            <w:r w:rsidRPr="00D509BC">
              <w:rPr>
                <w:rFonts w:ascii="Verdana" w:hAnsi="Verdana" w:cs="Calibri"/>
                <w:color w:val="000000"/>
                <w:sz w:val="20"/>
                <w:szCs w:val="20"/>
                <w:lang w:val="en-US" w:eastAsia="es-ES"/>
              </w:rPr>
              <w:t xml:space="preserve"> </w:t>
            </w:r>
            <w:proofErr w:type="spellStart"/>
            <w:r w:rsidRPr="00D509BC">
              <w:rPr>
                <w:rFonts w:ascii="Verdana" w:hAnsi="Verdana" w:cs="Calibri"/>
                <w:color w:val="000000"/>
                <w:sz w:val="20"/>
                <w:szCs w:val="20"/>
                <w:lang w:val="en-US" w:eastAsia="es-ES"/>
              </w:rPr>
              <w:t>Checa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2,5</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16,9</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36,0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25,6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12,0</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6,2</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0,4</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0,4</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s="Calibri"/>
                    <w:color w:val="000000"/>
                    <w:sz w:val="20"/>
                    <w:szCs w:val="20"/>
                    <w:lang w:val="en-US" w:eastAsia="es-ES"/>
                  </w:rPr>
                  <w:t>Estonia</w:t>
                </w:r>
              </w:smartTag>
            </w:smartTag>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50,0</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4,2</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15,3</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6,9</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12,5</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5,6</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1,4</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4,2</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Hungría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12,0</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13,7</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21,9</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21,3</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12,6</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11,5</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4,9</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2,2</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Letonia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18,4</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8,8</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15,0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16,3</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12,2</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25,9</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3,4</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Lituania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19,5</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19,5</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30,5</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15,6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8,6</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3,9</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1,6</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0,8</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s="Calibri"/>
                    <w:color w:val="000000"/>
                    <w:sz w:val="20"/>
                    <w:szCs w:val="20"/>
                    <w:lang w:val="en-US" w:eastAsia="es-ES"/>
                  </w:rPr>
                  <w:t>Malta</w:t>
                </w:r>
              </w:smartTag>
            </w:smartTag>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4,2</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12,5</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20,8</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12,5</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37,5</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12,5</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Polonia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21,5</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11,4</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20,7</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19,1</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13,9</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11,7</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0,3</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1,4</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Rumanía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38,0</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5,1</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2,2</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4,4</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5,8</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19,7</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21,9</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2,9</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Eslovaquia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20,0</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11,0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16,0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21,0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13,0</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12,0</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6,0</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1,0</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Eslovenia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2,6</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9,8</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19,6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34,0</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26,1</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3,9</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1,3</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Turquía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6,3</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6,3</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25,0</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29,7</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32,8</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Hungría</w:t>
            </w:r>
            <w:proofErr w:type="spellEnd"/>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6,2</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4,9</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8,6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9,9</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22,2</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40,1</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8,0</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 </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s="Calibri"/>
                    <w:color w:val="000000"/>
                    <w:sz w:val="20"/>
                    <w:szCs w:val="20"/>
                    <w:lang w:val="en-US" w:eastAsia="es-ES"/>
                  </w:rPr>
                  <w:t>Macedonia</w:t>
                </w:r>
              </w:smartTag>
            </w:smartTag>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24,0</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7,0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4,7</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3,9</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11,6</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24,0</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23,3</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1,6</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452"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Total</w:t>
            </w:r>
          </w:p>
        </w:tc>
        <w:tc>
          <w:tcPr>
            <w:tcW w:w="489"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9,8</w:t>
            </w:r>
          </w:p>
        </w:tc>
        <w:tc>
          <w:tcPr>
            <w:tcW w:w="431"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16,0</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14,6</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12,3</w:t>
            </w:r>
          </w:p>
        </w:tc>
        <w:tc>
          <w:tcPr>
            <w:tcW w:w="520"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13,1</w:t>
            </w:r>
          </w:p>
        </w:tc>
        <w:tc>
          <w:tcPr>
            <w:tcW w:w="57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21,7</w:t>
            </w:r>
          </w:p>
        </w:tc>
        <w:tc>
          <w:tcPr>
            <w:tcW w:w="454"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9,1</w:t>
            </w:r>
          </w:p>
        </w:tc>
        <w:tc>
          <w:tcPr>
            <w:tcW w:w="587"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rPr>
              <w:t>3,4</w:t>
            </w:r>
          </w:p>
        </w:tc>
        <w:tc>
          <w:tcPr>
            <w:tcW w:w="448" w:type="pct"/>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bl>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Fuente: con datos de la Encuesta Europea de Empresas 2009</w:t>
      </w:r>
    </w:p>
    <w:p w:rsidR="00D509BC" w:rsidRP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both"/>
        <w:rPr>
          <w:rFonts w:ascii="Verdana" w:hAnsi="Verdana" w:cs="Arial"/>
        </w:rPr>
      </w:pPr>
      <w:r w:rsidRPr="00D509BC">
        <w:rPr>
          <w:rFonts w:ascii="Verdana" w:hAnsi="Verdana" w:cs="Arial"/>
        </w:rPr>
        <w:t>Así pues, y contradiciendo en la práctica el insidioso discurso ideológico de deslegitimación del sindicalismo español, al que se tacha de poco representativo, todos los datos oficiales, españoles y europeos, acreditan que su tasa de cobertura es muy superior a la de países tan importantes como Alemania, Inglaterra o Francia.</w:t>
      </w:r>
    </w:p>
    <w:p w:rsidR="00D509BC" w:rsidRPr="00D509BC" w:rsidRDefault="00D509BC" w:rsidP="00D509BC">
      <w:pPr>
        <w:spacing w:after="0" w:line="240" w:lineRule="auto"/>
        <w:jc w:val="both"/>
        <w:rPr>
          <w:rFonts w:ascii="Verdana" w:hAnsi="Verdana" w:cs="Arial"/>
        </w:rPr>
      </w:pPr>
    </w:p>
    <w:p w:rsidR="00D509BC" w:rsidRPr="00D509BC" w:rsidRDefault="00D509BC" w:rsidP="00D509BC">
      <w:pPr>
        <w:spacing w:after="0" w:line="240" w:lineRule="auto"/>
        <w:jc w:val="both"/>
        <w:rPr>
          <w:rFonts w:ascii="Verdana" w:hAnsi="Verdana"/>
        </w:rPr>
      </w:pPr>
      <w:r w:rsidRPr="00D509BC">
        <w:rPr>
          <w:rFonts w:ascii="Verdana" w:hAnsi="Verdana"/>
        </w:rPr>
        <w:t xml:space="preserve">Por otra parte, la edición de 2009 de la Encuesta Europea de Empresas provee información muy detallada sobre la representación de los trabajadores, características, funciones y valoración, teniendo como universo de referencia las empresas con representación de los trabajadores, del que se selecciona una muestra en cada país. De las diversas variables que se recogen en dicha encuesta, nos limitaremos por cuestiones de espacio a dos de ellas que en cierta forma complementan las que ya se han analizado para el caso de la </w:t>
      </w:r>
      <w:r>
        <w:rPr>
          <w:rFonts w:ascii="Verdana" w:hAnsi="Verdana"/>
        </w:rPr>
        <w:t>ESS. En primer lugar, la tabla 2</w:t>
      </w:r>
      <w:r w:rsidRPr="00D509BC">
        <w:rPr>
          <w:rFonts w:ascii="Verdana" w:hAnsi="Verdana"/>
        </w:rPr>
        <w:t xml:space="preserve">.4 recoge la distribución por países de las empresas según el porcentaje de representantes de los trabajadores que están afiliados a sindicatos. Así, alrededor de un 42% de los entrevistados afirma que el porcentaje de representantes miembros del sindicato está por debajo del 20% o que no hay ninguno. Por el contrario, sólo un 6% cree que este porcentaje se encuentra por encima del 80%. Es interesante observar la distancia en el caso español entre el porcentaje relativamente bajo de la Encuesta Europea de Empresas, comparado con los datos de delegados de CCOO (SIC-CCOO) según los cuales un 50% son miembros del sindicato. </w:t>
      </w:r>
    </w:p>
    <w:p w:rsidR="00D509BC" w:rsidRPr="00D509BC" w:rsidRDefault="00D509BC" w:rsidP="00D509BC">
      <w:pPr>
        <w:spacing w:after="0" w:line="240" w:lineRule="auto"/>
        <w:rPr>
          <w:rFonts w:ascii="Verdana" w:hAnsi="Verdana"/>
        </w:rPr>
      </w:pPr>
    </w:p>
    <w:p w:rsidR="00D509BC" w:rsidRDefault="00D509BC" w:rsidP="00D509BC">
      <w:pPr>
        <w:spacing w:after="0" w:line="240" w:lineRule="auto"/>
        <w:jc w:val="center"/>
        <w:rPr>
          <w:rFonts w:ascii="Verdana" w:hAnsi="Verdana"/>
        </w:rPr>
      </w:pPr>
      <w:r>
        <w:rPr>
          <w:rFonts w:ascii="Verdana" w:hAnsi="Verdana"/>
        </w:rPr>
        <w:t>Tabla 2</w:t>
      </w:r>
      <w:r w:rsidRPr="00D509BC">
        <w:rPr>
          <w:rFonts w:ascii="Verdana" w:hAnsi="Verdana"/>
        </w:rPr>
        <w:t>.5. Porcentaje de representantes de los trabajadores que creen que los trabajadores apoyan su labor, 2009</w:t>
      </w:r>
    </w:p>
    <w:p w:rsidR="00D509BC" w:rsidRPr="00D509BC" w:rsidRDefault="00D509BC" w:rsidP="00D509BC">
      <w:pPr>
        <w:spacing w:after="0" w:line="240" w:lineRule="auto"/>
        <w:jc w:val="center"/>
        <w:rPr>
          <w:rFonts w:ascii="Verdana" w:hAnsi="Verdana"/>
        </w:rPr>
      </w:pPr>
    </w:p>
    <w:tbl>
      <w:tblPr>
        <w:tblW w:w="7665"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81"/>
        <w:gridCol w:w="1277"/>
        <w:gridCol w:w="1422"/>
        <w:gridCol w:w="1415"/>
        <w:gridCol w:w="1135"/>
        <w:gridCol w:w="1135"/>
      </w:tblGrid>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b/>
                <w:color w:val="000000"/>
                <w:sz w:val="20"/>
                <w:szCs w:val="20"/>
                <w:lang w:eastAsia="es-ES"/>
              </w:rPr>
            </w:pPr>
            <w:r w:rsidRPr="00D509BC">
              <w:rPr>
                <w:rFonts w:ascii="Verdana" w:hAnsi="Verdana" w:cs="Calibri"/>
                <w:b/>
                <w:color w:val="000000"/>
                <w:sz w:val="20"/>
                <w:szCs w:val="20"/>
                <w:lang w:eastAsia="es-ES"/>
              </w:rPr>
              <w:t>Muy de acuerdo y de acuerdo</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b/>
                <w:color w:val="000000"/>
                <w:sz w:val="20"/>
                <w:szCs w:val="20"/>
                <w:lang w:eastAsia="es-ES"/>
              </w:rPr>
            </w:pPr>
            <w:r w:rsidRPr="00D509BC">
              <w:rPr>
                <w:rFonts w:ascii="Verdana" w:hAnsi="Verdana" w:cs="Calibri"/>
                <w:b/>
                <w:color w:val="000000"/>
                <w:sz w:val="20"/>
                <w:szCs w:val="20"/>
                <w:lang w:eastAsia="es-ES"/>
              </w:rPr>
              <w:t>Ni de acuerdo ni de desacuerdo</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b/>
                <w:color w:val="000000"/>
                <w:sz w:val="20"/>
                <w:szCs w:val="20"/>
                <w:lang w:eastAsia="es-ES"/>
              </w:rPr>
            </w:pPr>
            <w:r w:rsidRPr="00D509BC">
              <w:rPr>
                <w:rFonts w:ascii="Verdana" w:hAnsi="Verdana" w:cs="Calibri"/>
                <w:b/>
                <w:color w:val="000000"/>
                <w:sz w:val="20"/>
                <w:szCs w:val="20"/>
                <w:lang w:eastAsia="es-ES"/>
              </w:rPr>
              <w:t>En desacuerdo y muy en desacuerdo</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Ns/</w:t>
            </w:r>
            <w:proofErr w:type="spellStart"/>
            <w:r w:rsidRPr="00D509BC">
              <w:rPr>
                <w:rFonts w:ascii="Verdana" w:hAnsi="Verdana" w:cs="Calibri"/>
                <w:b/>
                <w:color w:val="000000"/>
                <w:sz w:val="20"/>
                <w:szCs w:val="20"/>
                <w:lang w:val="en-US" w:eastAsia="es-ES"/>
              </w:rPr>
              <w:t>nc</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Total</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Suecia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95,2</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3,9</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0,6</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0,4</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Reino</w:t>
            </w:r>
            <w:proofErr w:type="spellEnd"/>
            <w:r w:rsidRPr="00D509BC">
              <w:rPr>
                <w:rFonts w:ascii="Verdana" w:hAnsi="Verdana" w:cs="Calibri"/>
                <w:color w:val="000000"/>
                <w:sz w:val="20"/>
                <w:szCs w:val="20"/>
                <w:lang w:val="en-US" w:eastAsia="es-ES"/>
              </w:rPr>
              <w:t xml:space="preserve"> </w:t>
            </w:r>
            <w:proofErr w:type="spellStart"/>
            <w:r w:rsidRPr="00D509BC">
              <w:rPr>
                <w:rFonts w:ascii="Verdana" w:hAnsi="Verdana" w:cs="Calibri"/>
                <w:color w:val="000000"/>
                <w:sz w:val="20"/>
                <w:szCs w:val="20"/>
                <w:lang w:val="en-US" w:eastAsia="es-ES"/>
              </w:rPr>
              <w:t>Unido</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92,1</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5,4</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1,8</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0,6</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Grecia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86,8</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9,2</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3,9</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Irlanda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86,0</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7,5</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6,5</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Dinamarca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85,5</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8,9</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5,4</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0,3</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Bélgica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84,7</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7,0</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8,4</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s="Calibri"/>
                    <w:color w:val="000000"/>
                    <w:sz w:val="20"/>
                    <w:szCs w:val="20"/>
                    <w:lang w:val="en-US" w:eastAsia="es-ES"/>
                  </w:rPr>
                  <w:t>Portugal</w:t>
                </w:r>
              </w:smartTag>
            </w:smartTag>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82,0</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10,3</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7,7</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Alemania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79,9</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14,9</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4,8</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0,4</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s="Calibri"/>
                    <w:color w:val="000000"/>
                    <w:sz w:val="20"/>
                    <w:szCs w:val="20"/>
                    <w:lang w:val="en-US" w:eastAsia="es-ES"/>
                  </w:rPr>
                  <w:t>Austria</w:t>
                </w:r>
              </w:smartTag>
            </w:smartTag>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78,1</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18,5</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3,4</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Francia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76,4</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10,7</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12,9</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Luxemburgo</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76,2</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13,4</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9,7</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0,6</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Holanda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75,9</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19,7</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4,0</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0,4</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b/>
                <w:color w:val="000000"/>
                <w:sz w:val="20"/>
                <w:szCs w:val="20"/>
                <w:lang w:val="en-US" w:eastAsia="es-ES"/>
              </w:rPr>
            </w:pPr>
            <w:proofErr w:type="spellStart"/>
            <w:r w:rsidRPr="00D509BC">
              <w:rPr>
                <w:rFonts w:ascii="Verdana" w:hAnsi="Verdana" w:cs="Calibri"/>
                <w:b/>
                <w:color w:val="000000"/>
                <w:sz w:val="20"/>
                <w:szCs w:val="20"/>
                <w:lang w:val="en-US" w:eastAsia="es-ES"/>
              </w:rPr>
              <w:t>España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rPr>
              <w:t>75,5</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rPr>
              <w:t>16,3</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rPr>
              <w:t>7,4</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0,8</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proofErr w:type="spellStart"/>
            <w:r w:rsidRPr="00D509BC">
              <w:rPr>
                <w:rFonts w:ascii="Verdana" w:hAnsi="Verdana" w:cs="Calibri"/>
                <w:color w:val="000000"/>
                <w:sz w:val="20"/>
                <w:szCs w:val="20"/>
                <w:lang w:val="en-US" w:eastAsia="es-ES"/>
              </w:rPr>
              <w:t>Finlandia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65,7</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19,5</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14,6</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0,2</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r w:rsidR="00D509BC" w:rsidRPr="00D509BC" w:rsidTr="00D509BC">
        <w:trPr>
          <w:trHeight w:val="300"/>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Italia</w:t>
            </w:r>
          </w:p>
        </w:tc>
        <w:tc>
          <w:tcPr>
            <w:tcW w:w="1276"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65,3</w:t>
            </w:r>
          </w:p>
        </w:tc>
        <w:tc>
          <w:tcPr>
            <w:tcW w:w="142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20,3</w:t>
            </w:r>
          </w:p>
        </w:tc>
        <w:tc>
          <w:tcPr>
            <w:tcW w:w="141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rPr>
              <w:t>14,3</w:t>
            </w: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100</w:t>
            </w:r>
          </w:p>
        </w:tc>
      </w:tr>
    </w:tbl>
    <w:p w:rsidR="00D509BC" w:rsidRPr="00D509BC" w:rsidRDefault="00D509BC" w:rsidP="00D509BC">
      <w:pPr>
        <w:spacing w:after="0" w:line="240" w:lineRule="auto"/>
        <w:jc w:val="center"/>
        <w:rPr>
          <w:rFonts w:ascii="Verdana" w:hAnsi="Verdana"/>
          <w:sz w:val="20"/>
          <w:szCs w:val="20"/>
        </w:rPr>
      </w:pPr>
      <w:r w:rsidRPr="00D509BC">
        <w:rPr>
          <w:rFonts w:ascii="Verdana" w:hAnsi="Verdana"/>
          <w:sz w:val="20"/>
          <w:szCs w:val="20"/>
        </w:rPr>
        <w:t>Fuente: con datos de la Encuesta Europea de Empresas 2009</w:t>
      </w:r>
    </w:p>
    <w:p w:rsidR="00D509BC" w:rsidRPr="00D509BC" w:rsidRDefault="00D509BC" w:rsidP="00D509BC">
      <w:pPr>
        <w:spacing w:after="0" w:line="240" w:lineRule="auto"/>
        <w:jc w:val="both"/>
        <w:rPr>
          <w:rFonts w:ascii="Verdana" w:hAnsi="Verdana"/>
          <w:sz w:val="24"/>
          <w:szCs w:val="24"/>
        </w:rPr>
      </w:pPr>
    </w:p>
    <w:p w:rsidR="00D509BC" w:rsidRPr="00D509BC" w:rsidRDefault="00D509BC" w:rsidP="00D509BC">
      <w:pPr>
        <w:spacing w:after="0" w:line="240" w:lineRule="auto"/>
        <w:jc w:val="both"/>
        <w:rPr>
          <w:rFonts w:ascii="Verdana" w:hAnsi="Verdana"/>
        </w:rPr>
      </w:pPr>
      <w:r w:rsidRPr="00D509BC">
        <w:rPr>
          <w:rFonts w:ascii="Verdana" w:hAnsi="Verdana"/>
        </w:rPr>
        <w:t>Cuando analizamos la percepción que tienen los representantes de los trabajadores del apoyo de éstos hacia su acción en la empresa (</w:t>
      </w:r>
      <w:r w:rsidRPr="00D509BC">
        <w:rPr>
          <w:rFonts w:ascii="Verdana" w:hAnsi="Verdana"/>
          <w:i/>
        </w:rPr>
        <w:t>tabla 3.5</w:t>
      </w:r>
      <w:r w:rsidRPr="00D509BC">
        <w:rPr>
          <w:rFonts w:ascii="Verdana" w:hAnsi="Verdana"/>
        </w:rPr>
        <w:t xml:space="preserve">), observamos que la distribución de los países no sigue un patrón en el que puedan ser fácilmente identificables los tradicionales modelos de relaciones </w:t>
      </w:r>
      <w:r w:rsidRPr="00D509BC">
        <w:rPr>
          <w:rFonts w:ascii="Verdana" w:hAnsi="Verdana"/>
        </w:rPr>
        <w:lastRenderedPageBreak/>
        <w:t xml:space="preserve">laborales. Entre los países con mayor percepción de apoyo de los trabajadores hay un poco de todo; algunos del modelo escandinavo, centroeuropeo, también liberal e incluso mediterráneo. Los datos muestran que en España la percepción es en general positiva, aunque menos que en otros países, y en cualquier caso, con un alto nivel de respuestas que se alinean con una percepción ni positiva ni negativa. </w:t>
      </w:r>
    </w:p>
    <w:p w:rsidR="00D509BC" w:rsidRDefault="00D509BC" w:rsidP="00D509BC">
      <w:pPr>
        <w:spacing w:after="0" w:line="240" w:lineRule="auto"/>
        <w:jc w:val="both"/>
        <w:rPr>
          <w:rFonts w:ascii="Verdana" w:hAnsi="Verdana"/>
        </w:rPr>
      </w:pPr>
    </w:p>
    <w:p w:rsidR="00D509BC" w:rsidRPr="00D509BC" w:rsidRDefault="00D509BC" w:rsidP="00D509BC">
      <w:pPr>
        <w:spacing w:after="0" w:line="240" w:lineRule="auto"/>
        <w:jc w:val="both"/>
        <w:rPr>
          <w:rFonts w:ascii="Verdana" w:hAnsi="Verdana"/>
        </w:rPr>
      </w:pPr>
      <w:r w:rsidRPr="00D509BC">
        <w:rPr>
          <w:rFonts w:ascii="Verdana" w:hAnsi="Verdana"/>
        </w:rPr>
        <w:t>Estos datos muestran que las organizaciones que operan en España se mueven en el interior de lo que podríamos caracterizar como espectro medio-bajo de la representación de los trabajadores en la empresa europea; con algunas dificultades específicas. Pero también debe anotarse que, excepto los países del este y algunos latinos, nos comparamos con sistemas de relaciones laborales de amplia tradición y fuerte consolidación.</w:t>
      </w:r>
    </w:p>
    <w:p w:rsidR="00D509BC" w:rsidRPr="00D509BC" w:rsidRDefault="00D509BC" w:rsidP="00D509BC">
      <w:pPr>
        <w:spacing w:after="0" w:line="240" w:lineRule="auto"/>
        <w:jc w:val="both"/>
        <w:rPr>
          <w:rFonts w:ascii="Verdana" w:hAnsi="Verdana"/>
        </w:rPr>
      </w:pPr>
      <w:r w:rsidRPr="00D509BC">
        <w:rPr>
          <w:rFonts w:ascii="Verdana" w:hAnsi="Verdana"/>
        </w:rPr>
        <w:t>Por su parte, la Encuesta Social Europea (</w:t>
      </w:r>
      <w:proofErr w:type="spellStart"/>
      <w:r w:rsidRPr="00D509BC">
        <w:rPr>
          <w:rFonts w:ascii="Verdana" w:hAnsi="Verdana"/>
          <w:i/>
        </w:rPr>
        <w:t>European</w:t>
      </w:r>
      <w:proofErr w:type="spellEnd"/>
      <w:r w:rsidRPr="00D509BC">
        <w:rPr>
          <w:rFonts w:ascii="Verdana" w:hAnsi="Verdana"/>
          <w:i/>
        </w:rPr>
        <w:t xml:space="preserve"> Social </w:t>
      </w:r>
      <w:proofErr w:type="spellStart"/>
      <w:r w:rsidRPr="00D509BC">
        <w:rPr>
          <w:rFonts w:ascii="Verdana" w:hAnsi="Verdana"/>
          <w:i/>
        </w:rPr>
        <w:t>Survey</w:t>
      </w:r>
      <w:proofErr w:type="spellEnd"/>
      <w:r w:rsidRPr="00D509BC">
        <w:rPr>
          <w:rFonts w:ascii="Verdana" w:hAnsi="Verdana"/>
          <w:i/>
        </w:rPr>
        <w:t>,</w:t>
      </w:r>
      <w:r w:rsidRPr="00D509BC">
        <w:rPr>
          <w:rFonts w:ascii="Verdana" w:hAnsi="Verdana"/>
        </w:rPr>
        <w:t xml:space="preserve"> ESS) ofrece información interesante sobre la representación y acción sindical en sus olas de 2002 y, en menor medida, la de 2010. La Encuesta Social Europea contiene información sobre actitudes, participación, comportamiento político, religioso, etc. de todos los países europeos. El universo en este caso es distinto al de la ECS (lo que explica las diferencias existentes entre algunos datos de ambas encuestas), estando constituido en este caso por todos los ciudadanos mayores de quince años residentes en los países incluidos en la muestra, independientemente de su país de nacimiento, nacionalidad o situación legal.</w:t>
      </w:r>
    </w:p>
    <w:p w:rsidR="00D509BC" w:rsidRDefault="00D509BC" w:rsidP="00D509BC">
      <w:pPr>
        <w:spacing w:after="0" w:line="240" w:lineRule="auto"/>
        <w:jc w:val="both"/>
        <w:rPr>
          <w:rFonts w:ascii="Verdana" w:hAnsi="Verdana"/>
        </w:rPr>
      </w:pPr>
    </w:p>
    <w:p w:rsidR="00D509BC" w:rsidRPr="00D509BC" w:rsidRDefault="00D509BC" w:rsidP="00D509BC">
      <w:pPr>
        <w:spacing w:after="0" w:line="240" w:lineRule="auto"/>
        <w:jc w:val="both"/>
        <w:rPr>
          <w:rFonts w:ascii="Verdana" w:hAnsi="Verdana"/>
        </w:rPr>
      </w:pPr>
      <w:r w:rsidRPr="00D509BC">
        <w:rPr>
          <w:rFonts w:ascii="Verdana" w:hAnsi="Verdana"/>
        </w:rPr>
        <w:t>De todas las olas disponibles de la Encuesta Social Europea (ESS), la del 2002 es la que ofrece una información más detallada sobre la existencia de representación sindical en la empresa. Para realizar el análisis, se ha seleccionado la muestra correspondiente al grupo de trabaj</w:t>
      </w:r>
      <w:r>
        <w:rPr>
          <w:rFonts w:ascii="Verdana" w:hAnsi="Verdana"/>
        </w:rPr>
        <w:t>adores empleados. El gráfico 2</w:t>
      </w:r>
      <w:r w:rsidRPr="00D509BC">
        <w:rPr>
          <w:rFonts w:ascii="Verdana" w:hAnsi="Verdana"/>
        </w:rPr>
        <w:t>.2 muestra el porcentaje de trabajadores que responden afirmativamente a la pregunta sobre la existencia de representación sindical en su empresa. Los datos a este respecto confirman las fuertes diferencias entre países europeos; que a grandes rasgos se corresponden con los modelos tradicionales de relaciones laborales, aunque, como veremos, algunos casos ofrecen desviaciones. En particular, se observa cómo los países con un mayor porcentaje de trabajadores con representación sindical en su empresa son los del grupo escandinavo, seguidos por los de Europa continental, incluyendo Italia, y a continuación los países liberales (Irlanda y Reino Unido) junto con los países del centro y este europeos. Finalmente, declaran un menor número de representantes sindicales los países del sur de Europa (a excepción de Italia). En particular, España es el tercer país con menor porcentaje de representantes sindicales según la percepción de los trabajadores que integran la muestra de la ESS 2002.</w:t>
      </w:r>
    </w:p>
    <w:p w:rsidR="00D509BC" w:rsidRDefault="00D509BC" w:rsidP="00D509BC">
      <w:pPr>
        <w:spacing w:after="0" w:line="240" w:lineRule="auto"/>
        <w:jc w:val="both"/>
        <w:rPr>
          <w:rFonts w:ascii="Verdana" w:hAnsi="Verdana"/>
        </w:rPr>
      </w:pPr>
    </w:p>
    <w:p w:rsidR="00D509BC" w:rsidRPr="00D509BC" w:rsidRDefault="00D509BC" w:rsidP="00D509BC">
      <w:pPr>
        <w:spacing w:after="0" w:line="240" w:lineRule="auto"/>
        <w:jc w:val="both"/>
        <w:rPr>
          <w:rFonts w:ascii="Verdana" w:hAnsi="Verdana"/>
        </w:rPr>
      </w:pPr>
      <w:r w:rsidRPr="00D509BC">
        <w:rPr>
          <w:rFonts w:ascii="Verdana" w:hAnsi="Verdana"/>
        </w:rPr>
        <w:t xml:space="preserve">Una de las variables explicativas más importantes para entender la representación sindical es la incidencia de la misma según el tamaño de la empresa. Al analizarla, observamos como a grandes rasgos se mantiene el </w:t>
      </w:r>
      <w:r>
        <w:rPr>
          <w:rFonts w:ascii="Verdana" w:hAnsi="Verdana"/>
        </w:rPr>
        <w:t>patrón observado en el gráfico 2</w:t>
      </w:r>
      <w:r w:rsidRPr="00D509BC">
        <w:rPr>
          <w:rFonts w:ascii="Verdana" w:hAnsi="Verdana"/>
        </w:rPr>
        <w:t>.2. Sin embargo, surgen algunas diferencias, que se explican en parte por la variación de la dimensión media de las empresas en cada país.</w:t>
      </w:r>
    </w:p>
    <w:p w:rsidR="00D509BC" w:rsidRPr="00D509BC" w:rsidRDefault="00D509BC" w:rsidP="00D509BC">
      <w:pPr>
        <w:spacing w:after="0" w:line="240" w:lineRule="auto"/>
        <w:jc w:val="both"/>
        <w:rPr>
          <w:rFonts w:ascii="Verdana" w:hAnsi="Verdana"/>
        </w:rPr>
      </w:pPr>
    </w:p>
    <w:p w:rsidR="00D509BC" w:rsidRDefault="00D509BC" w:rsidP="00D509BC">
      <w:pPr>
        <w:keepNext/>
        <w:keepLines/>
        <w:spacing w:after="0" w:line="240" w:lineRule="auto"/>
        <w:jc w:val="center"/>
        <w:rPr>
          <w:rFonts w:ascii="Verdana" w:hAnsi="Verdana"/>
        </w:rPr>
      </w:pPr>
      <w:r>
        <w:rPr>
          <w:rFonts w:ascii="Verdana" w:hAnsi="Verdana"/>
        </w:rPr>
        <w:lastRenderedPageBreak/>
        <w:t>Gráfico 2</w:t>
      </w:r>
      <w:r w:rsidRPr="00D509BC">
        <w:rPr>
          <w:rFonts w:ascii="Verdana" w:hAnsi="Verdana"/>
        </w:rPr>
        <w:t>.2. Porcentaje de trabajadores que contestan afirmativamente a la pregunta sobre existencia de representación sindical en la empresa, 2002</w:t>
      </w:r>
    </w:p>
    <w:p w:rsidR="00D509BC" w:rsidRPr="00D509BC" w:rsidRDefault="00D509BC" w:rsidP="00D509BC">
      <w:pPr>
        <w:keepNext/>
        <w:keepLines/>
        <w:spacing w:after="0" w:line="240" w:lineRule="auto"/>
        <w:jc w:val="center"/>
        <w:rPr>
          <w:rFonts w:ascii="Verdana" w:hAnsi="Verdana"/>
        </w:rPr>
      </w:pPr>
    </w:p>
    <w:p w:rsidR="00D509BC" w:rsidRPr="00D509BC" w:rsidRDefault="00D509BC" w:rsidP="00D509BC">
      <w:pPr>
        <w:keepNext/>
        <w:keepLines/>
        <w:spacing w:after="0" w:line="240" w:lineRule="auto"/>
        <w:jc w:val="both"/>
        <w:rPr>
          <w:rFonts w:ascii="Verdana" w:hAnsi="Verdana"/>
          <w:sz w:val="24"/>
          <w:szCs w:val="24"/>
        </w:rPr>
      </w:pPr>
      <w:r w:rsidRPr="00D509BC">
        <w:rPr>
          <w:rFonts w:ascii="Verdana" w:hAnsi="Verdana"/>
          <w:noProof/>
          <w:sz w:val="24"/>
          <w:szCs w:val="24"/>
          <w:lang w:eastAsia="es-ES"/>
        </w:rPr>
        <w:drawing>
          <wp:inline distT="0" distB="0" distL="0" distR="0" wp14:anchorId="1BE5F01A" wp14:editId="5F38C745">
            <wp:extent cx="5407025" cy="3244215"/>
            <wp:effectExtent l="19050" t="0" r="3175" b="0"/>
            <wp:docPr id="8"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rrowheads="1"/>
                    </pic:cNvPicPr>
                  </pic:nvPicPr>
                  <pic:blipFill>
                    <a:blip r:embed="rId10" cstate="print"/>
                    <a:srcRect b="-78"/>
                    <a:stretch>
                      <a:fillRect/>
                    </a:stretch>
                  </pic:blipFill>
                  <pic:spPr bwMode="auto">
                    <a:xfrm>
                      <a:off x="0" y="0"/>
                      <a:ext cx="5407025" cy="3244215"/>
                    </a:xfrm>
                    <a:prstGeom prst="rect">
                      <a:avLst/>
                    </a:prstGeom>
                    <a:noFill/>
                    <a:ln w="9525">
                      <a:noFill/>
                      <a:miter lim="800000"/>
                      <a:headEnd/>
                      <a:tailEnd/>
                    </a:ln>
                  </pic:spPr>
                </pic:pic>
              </a:graphicData>
            </a:graphic>
          </wp:inline>
        </w:drawing>
      </w:r>
    </w:p>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Fuente: con datos de la Encuesta Social Europea 2002</w:t>
      </w:r>
    </w:p>
    <w:p w:rsidR="00D509BC" w:rsidRPr="00D509BC" w:rsidRDefault="00D509BC" w:rsidP="00D509BC">
      <w:pPr>
        <w:spacing w:after="0" w:line="240" w:lineRule="auto"/>
        <w:jc w:val="both"/>
        <w:rPr>
          <w:rFonts w:ascii="Verdana" w:hAnsi="Verdana"/>
          <w:sz w:val="24"/>
          <w:szCs w:val="24"/>
        </w:rPr>
      </w:pPr>
    </w:p>
    <w:p w:rsidR="00D509BC" w:rsidRDefault="00D509BC" w:rsidP="00D509BC">
      <w:pPr>
        <w:spacing w:after="0" w:line="240" w:lineRule="auto"/>
        <w:jc w:val="both"/>
        <w:rPr>
          <w:rFonts w:ascii="Verdana" w:hAnsi="Verdana"/>
        </w:rPr>
      </w:pPr>
    </w:p>
    <w:p w:rsidR="00D509BC" w:rsidRPr="00D509BC" w:rsidRDefault="00D509BC" w:rsidP="00D509BC">
      <w:pPr>
        <w:spacing w:after="0" w:line="240" w:lineRule="auto"/>
        <w:jc w:val="both"/>
        <w:rPr>
          <w:rFonts w:ascii="Verdana" w:hAnsi="Verdana"/>
        </w:rPr>
      </w:pPr>
      <w:r>
        <w:rPr>
          <w:rFonts w:ascii="Verdana" w:hAnsi="Verdana"/>
        </w:rPr>
        <w:t>En la tabla 2</w:t>
      </w:r>
      <w:r w:rsidRPr="00D509BC">
        <w:rPr>
          <w:rFonts w:ascii="Verdana" w:hAnsi="Verdana"/>
        </w:rPr>
        <w:t>.6 se ordenan los países según la diferencia de representación en las empresas de mayor y menor tamaño (columna tres). Los nórdicos continúan teniendo los más altos porcentajes de representación tanto en las grandes empresas (más del 75%), como en las pequeñas (más del 50%); y, en el resto de sistemas observamos que la representación en la pequeña empresa oscila</w:t>
      </w:r>
      <w:r w:rsidRPr="00D509BC">
        <w:rPr>
          <w:rFonts w:ascii="Verdana" w:hAnsi="Verdana"/>
          <w:lang w:val="es-ES_tradnl"/>
        </w:rPr>
        <w:t xml:space="preserve"> entre el 23% y el 44%, aunque en los países del este desciende por debajo del 20% y sólo en los países del este, Reino Unido, y los latinos (excepto Italia) la representación en la gran empresa es inferior al 70%; en España alcanza el 64,9%. Por su parte, Francia, Alemania, Irlanda o Italia mantienen las diferencias más fuertes entre la representación en la gran empresa y la pequeña (superiores al 40%), mientras que</w:t>
      </w:r>
      <w:r w:rsidRPr="00D509BC">
        <w:rPr>
          <w:rFonts w:ascii="Verdana" w:hAnsi="Verdana"/>
        </w:rPr>
        <w:t xml:space="preserve"> los países donde la diferencia es menor siguen siendo los escandinavos (con altas tasas de representación), aunque encontramos otros como Grecia y Portugal o República Checa con  distancias también pequeñas debidas, en su caso, a las bajas tasas de representación del conjunto.</w:t>
      </w:r>
    </w:p>
    <w:p w:rsidR="00D509BC" w:rsidRPr="00D509BC" w:rsidRDefault="00D509BC" w:rsidP="00D509BC">
      <w:pPr>
        <w:spacing w:after="0" w:line="240" w:lineRule="auto"/>
        <w:jc w:val="both"/>
        <w:rPr>
          <w:rFonts w:ascii="Verdana" w:hAnsi="Verdana"/>
        </w:rPr>
      </w:pPr>
    </w:p>
    <w:p w:rsidR="00D509BC" w:rsidRDefault="00D509BC" w:rsidP="00D509BC">
      <w:pPr>
        <w:keepNext/>
        <w:keepLines/>
        <w:spacing w:after="0" w:line="240" w:lineRule="auto"/>
        <w:jc w:val="center"/>
        <w:rPr>
          <w:rFonts w:ascii="Verdana" w:hAnsi="Verdana"/>
        </w:rPr>
      </w:pPr>
      <w:r>
        <w:rPr>
          <w:rFonts w:ascii="Verdana" w:hAnsi="Verdana"/>
        </w:rPr>
        <w:lastRenderedPageBreak/>
        <w:t>Tabla 2</w:t>
      </w:r>
      <w:r w:rsidRPr="00D509BC">
        <w:rPr>
          <w:rFonts w:ascii="Verdana" w:hAnsi="Verdana"/>
        </w:rPr>
        <w:t>.6. Porcentaje de trabajadores que contestan afirmativamente a la pregunta sobre existencia de representación sindical en la empresa, según tamaño de empresa, 2002</w:t>
      </w:r>
    </w:p>
    <w:p w:rsidR="00D509BC" w:rsidRPr="00D509BC" w:rsidRDefault="00D509BC" w:rsidP="00D509BC">
      <w:pPr>
        <w:keepNext/>
        <w:keepLines/>
        <w:spacing w:after="0" w:line="240" w:lineRule="auto"/>
        <w:jc w:val="center"/>
        <w:rPr>
          <w:rFonts w:ascii="Verdana" w:hAnsi="Verdana"/>
        </w:rPr>
      </w:pPr>
    </w:p>
    <w:tbl>
      <w:tblPr>
        <w:tblW w:w="7181"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92"/>
        <w:gridCol w:w="1813"/>
        <w:gridCol w:w="2201"/>
        <w:gridCol w:w="1286"/>
      </w:tblGrid>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eastAsia="es-ES"/>
              </w:rPr>
            </w:pPr>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 xml:space="preserve">10-24 </w:t>
            </w:r>
            <w:proofErr w:type="spellStart"/>
            <w:r w:rsidRPr="00D509BC">
              <w:rPr>
                <w:rFonts w:ascii="Verdana" w:hAnsi="Verdana" w:cs="Calibri"/>
                <w:b/>
                <w:color w:val="000000"/>
                <w:sz w:val="20"/>
                <w:szCs w:val="20"/>
                <w:lang w:val="en-US" w:eastAsia="es-ES"/>
              </w:rPr>
              <w:t>trabajadores</w:t>
            </w:r>
            <w:proofErr w:type="spellEnd"/>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 xml:space="preserve">25 o </w:t>
            </w:r>
            <w:proofErr w:type="spellStart"/>
            <w:r w:rsidRPr="00D509BC">
              <w:rPr>
                <w:rFonts w:ascii="Verdana" w:hAnsi="Verdana" w:cs="Calibri"/>
                <w:b/>
                <w:color w:val="000000"/>
                <w:sz w:val="20"/>
                <w:szCs w:val="20"/>
                <w:lang w:val="en-US" w:eastAsia="es-ES"/>
              </w:rPr>
              <w:t>más</w:t>
            </w:r>
            <w:proofErr w:type="spellEnd"/>
            <w:r w:rsidRPr="00D509BC">
              <w:rPr>
                <w:rFonts w:ascii="Verdana" w:hAnsi="Verdana" w:cs="Calibri"/>
                <w:b/>
                <w:color w:val="000000"/>
                <w:sz w:val="20"/>
                <w:szCs w:val="20"/>
                <w:lang w:val="en-US" w:eastAsia="es-ES"/>
              </w:rPr>
              <w:t xml:space="preserve"> </w:t>
            </w:r>
            <w:proofErr w:type="spellStart"/>
            <w:r w:rsidRPr="00D509BC">
              <w:rPr>
                <w:rFonts w:ascii="Verdana" w:hAnsi="Verdana" w:cs="Calibri"/>
                <w:b/>
                <w:color w:val="000000"/>
                <w:sz w:val="20"/>
                <w:szCs w:val="20"/>
                <w:lang w:val="en-US" w:eastAsia="es-ES"/>
              </w:rPr>
              <w:t>trabajadores</w:t>
            </w:r>
            <w:proofErr w:type="spellEnd"/>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b/>
                <w:color w:val="000000"/>
                <w:sz w:val="20"/>
                <w:szCs w:val="20"/>
                <w:lang w:val="en-US" w:eastAsia="es-ES"/>
              </w:rPr>
            </w:pPr>
            <w:proofErr w:type="spellStart"/>
            <w:r w:rsidRPr="00D509BC">
              <w:rPr>
                <w:rFonts w:ascii="Verdana" w:hAnsi="Verdana" w:cs="Calibri"/>
                <w:b/>
                <w:color w:val="000000"/>
                <w:sz w:val="20"/>
                <w:szCs w:val="20"/>
                <w:lang w:val="en-US" w:eastAsia="es-ES"/>
              </w:rPr>
              <w:t>Diferencia</w:t>
            </w:r>
            <w:proofErr w:type="spellEnd"/>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Luxemburgo</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26,8</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75,8</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49,0</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Eslovenia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37,8</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86,5</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48,7</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Francia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35,5</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81,2</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45,7</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Alemania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24,3</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70,0</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45,7</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Hungría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15,0</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57,7</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42,7</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Irlanda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28,6</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70,7</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42,1</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r w:rsidRPr="00D509BC">
              <w:rPr>
                <w:rFonts w:ascii="Verdana" w:hAnsi="Verdana"/>
                <w:color w:val="000000"/>
                <w:sz w:val="20"/>
                <w:szCs w:val="20"/>
                <w:lang w:val="en-US"/>
              </w:rPr>
              <w:t>Italia</w:t>
            </w:r>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42,7</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84,5</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41,8</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b/>
                <w:color w:val="000000"/>
                <w:sz w:val="20"/>
                <w:szCs w:val="20"/>
                <w:lang w:val="en-US" w:eastAsia="es-ES"/>
              </w:rPr>
            </w:pPr>
            <w:proofErr w:type="spellStart"/>
            <w:r w:rsidRPr="00D509BC">
              <w:rPr>
                <w:rFonts w:ascii="Verdana" w:hAnsi="Verdana"/>
                <w:b/>
                <w:color w:val="000000"/>
                <w:sz w:val="20"/>
                <w:szCs w:val="20"/>
                <w:lang w:val="en-US"/>
              </w:rPr>
              <w:t>España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25,2</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64,9</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b/>
                <w:color w:val="000000"/>
                <w:sz w:val="20"/>
                <w:szCs w:val="20"/>
                <w:lang w:val="en-US" w:eastAsia="es-ES"/>
              </w:rPr>
            </w:pPr>
            <w:r w:rsidRPr="00D509BC">
              <w:rPr>
                <w:rFonts w:ascii="Verdana" w:hAnsi="Verdana" w:cs="Calibri"/>
                <w:b/>
                <w:color w:val="000000"/>
                <w:sz w:val="20"/>
                <w:szCs w:val="20"/>
                <w:lang w:val="en-US" w:eastAsia="es-ES"/>
              </w:rPr>
              <w:t>39,7</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Polonia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18,5</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57,7</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39,2</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olor w:val="000000"/>
                    <w:sz w:val="20"/>
                    <w:szCs w:val="20"/>
                    <w:lang w:val="en-US"/>
                  </w:rPr>
                  <w:t>Austria</w:t>
                </w:r>
              </w:smartTag>
            </w:smartTag>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41,9</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78,7</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36,8</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Bélgica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43,5</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77,4</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33,9</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Reino</w:t>
            </w:r>
            <w:proofErr w:type="spellEnd"/>
            <w:r w:rsidRPr="00D509BC">
              <w:rPr>
                <w:rFonts w:ascii="Verdana" w:hAnsi="Verdana"/>
                <w:color w:val="000000"/>
                <w:sz w:val="20"/>
                <w:szCs w:val="20"/>
                <w:lang w:val="en-US"/>
              </w:rPr>
              <w:t xml:space="preserve"> </w:t>
            </w:r>
            <w:proofErr w:type="spellStart"/>
            <w:r w:rsidRPr="00D509BC">
              <w:rPr>
                <w:rFonts w:ascii="Verdana" w:hAnsi="Verdana"/>
                <w:color w:val="000000"/>
                <w:sz w:val="20"/>
                <w:szCs w:val="20"/>
                <w:lang w:val="en-US"/>
              </w:rPr>
              <w:t>Unido</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25,7</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59,3</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33,6</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Holanda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44,0</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73,3</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29,3</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Noruega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61,8</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89,8</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28,0</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olor w:val="000000"/>
                    <w:sz w:val="20"/>
                    <w:szCs w:val="20"/>
                    <w:lang w:val="en-US"/>
                  </w:rPr>
                  <w:t>Portugal</w:t>
                </w:r>
              </w:smartTag>
            </w:smartTag>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23,0</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50,7</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27,7</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olor w:val="000000"/>
                    <w:sz w:val="20"/>
                    <w:szCs w:val="20"/>
                    <w:lang w:val="en-US"/>
                  </w:rPr>
                  <w:t>Israel</w:t>
                </w:r>
              </w:smartTag>
            </w:smartTag>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23,7</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51,1</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27,4</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República</w:t>
            </w:r>
            <w:proofErr w:type="spellEnd"/>
            <w:r w:rsidRPr="00D509BC">
              <w:rPr>
                <w:rFonts w:ascii="Verdana" w:hAnsi="Verdana"/>
                <w:color w:val="000000"/>
                <w:sz w:val="20"/>
                <w:szCs w:val="20"/>
                <w:lang w:val="en-US"/>
              </w:rPr>
              <w:t xml:space="preserve"> </w:t>
            </w:r>
            <w:proofErr w:type="spellStart"/>
            <w:r w:rsidRPr="00D509BC">
              <w:rPr>
                <w:rFonts w:ascii="Verdana" w:hAnsi="Verdana"/>
                <w:color w:val="000000"/>
                <w:sz w:val="20"/>
                <w:szCs w:val="20"/>
                <w:lang w:val="en-US"/>
              </w:rPr>
              <w:t>Checa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33,1</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57,2</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24,1</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Dinamarca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52,5</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76,1</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23,6</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Grecia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36,4</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58,6</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22,2</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Suecia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72,7</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93,8</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21,1</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Finlandia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71,8</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89,3</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17,5</w:t>
            </w:r>
          </w:p>
        </w:tc>
      </w:tr>
      <w:tr w:rsidR="00D509BC" w:rsidRPr="00D509BC" w:rsidTr="00D509BC">
        <w:trPr>
          <w:trHeight w:val="300"/>
          <w:jc w:val="center"/>
        </w:trPr>
        <w:tc>
          <w:tcPr>
            <w:tcW w:w="1892"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rPr>
                <w:rFonts w:ascii="Verdana" w:hAnsi="Verdana" w:cs="Calibri"/>
                <w:color w:val="000000"/>
                <w:sz w:val="20"/>
                <w:szCs w:val="20"/>
                <w:lang w:val="en-US" w:eastAsia="es-ES"/>
              </w:rPr>
            </w:pPr>
            <w:proofErr w:type="spellStart"/>
            <w:r w:rsidRPr="00D509BC">
              <w:rPr>
                <w:rFonts w:ascii="Verdana" w:hAnsi="Verdana"/>
                <w:color w:val="000000"/>
                <w:sz w:val="20"/>
                <w:szCs w:val="20"/>
                <w:lang w:val="en-US"/>
              </w:rPr>
              <w:t>Suiza</w:t>
            </w:r>
            <w:proofErr w:type="spellEnd"/>
          </w:p>
        </w:tc>
        <w:tc>
          <w:tcPr>
            <w:tcW w:w="1813"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37,2</w:t>
            </w:r>
          </w:p>
        </w:tc>
        <w:tc>
          <w:tcPr>
            <w:tcW w:w="2201"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48,3</w:t>
            </w:r>
          </w:p>
        </w:tc>
        <w:tc>
          <w:tcPr>
            <w:tcW w:w="1275"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center"/>
              <w:rPr>
                <w:rFonts w:ascii="Verdana" w:hAnsi="Verdana" w:cs="Calibri"/>
                <w:color w:val="000000"/>
                <w:sz w:val="20"/>
                <w:szCs w:val="20"/>
                <w:lang w:val="en-US" w:eastAsia="es-ES"/>
              </w:rPr>
            </w:pPr>
            <w:r w:rsidRPr="00D509BC">
              <w:rPr>
                <w:rFonts w:ascii="Verdana" w:hAnsi="Verdana" w:cs="Calibri"/>
                <w:color w:val="000000"/>
                <w:sz w:val="20"/>
                <w:szCs w:val="20"/>
                <w:lang w:val="en-US" w:eastAsia="es-ES"/>
              </w:rPr>
              <w:t>11,1</w:t>
            </w:r>
          </w:p>
        </w:tc>
      </w:tr>
    </w:tbl>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Fuente: con datos de la Encuesta Social Europea 2002</w:t>
      </w:r>
    </w:p>
    <w:p w:rsidR="00D509BC" w:rsidRPr="00D509BC" w:rsidRDefault="00D509BC" w:rsidP="00D509BC">
      <w:pPr>
        <w:spacing w:after="0" w:line="240" w:lineRule="auto"/>
        <w:jc w:val="both"/>
        <w:rPr>
          <w:rFonts w:ascii="Verdana" w:hAnsi="Verdana"/>
        </w:rPr>
      </w:pPr>
    </w:p>
    <w:p w:rsidR="00D509BC" w:rsidRDefault="00D509BC" w:rsidP="00D509BC">
      <w:pPr>
        <w:spacing w:after="0" w:line="240" w:lineRule="auto"/>
        <w:jc w:val="both"/>
        <w:rPr>
          <w:rFonts w:ascii="Verdana" w:hAnsi="Verdana"/>
        </w:rPr>
      </w:pPr>
    </w:p>
    <w:p w:rsidR="00D509BC" w:rsidRPr="00D509BC" w:rsidRDefault="00D509BC" w:rsidP="00D509BC">
      <w:pPr>
        <w:spacing w:after="0" w:line="240" w:lineRule="auto"/>
        <w:jc w:val="both"/>
        <w:rPr>
          <w:rFonts w:ascii="Verdana" w:hAnsi="Verdana"/>
        </w:rPr>
      </w:pPr>
      <w:r w:rsidRPr="00D509BC">
        <w:rPr>
          <w:rFonts w:ascii="Verdana" w:hAnsi="Verdana"/>
        </w:rPr>
        <w:t>En la</w:t>
      </w:r>
      <w:r>
        <w:rPr>
          <w:rFonts w:ascii="Verdana" w:hAnsi="Verdana"/>
        </w:rPr>
        <w:t xml:space="preserve"> tabla 2</w:t>
      </w:r>
      <w:r w:rsidRPr="00D509BC">
        <w:rPr>
          <w:rFonts w:ascii="Verdana" w:hAnsi="Verdana"/>
        </w:rPr>
        <w:t>.7 se muestra el porcentaje de trabajadores que están actualmente afiliados a un sindicato y que responden afirmativamente a la pregunta sobre si existe representación sindical en su empresa. Es interesante observar que los países donde más afiliados reconocen la existencia de representación sindical son los países del este y del centro Europa, junto con los del grupo liberal, Francia e Italia, mientras que España se aproxima a los países con un reconocimiento más débil que son Dinamarca, Bélgica y Portugal. En general, los resultados muestran como la existencia de representación sindical se acompaña de una mayor probabilidad de afiliación y viceversa. En este sentido, en el contexto europeo España sería uno de los países donde esta relación es comparativamente más débil.</w:t>
      </w:r>
    </w:p>
    <w:p w:rsidR="00D509BC" w:rsidRPr="00D509BC" w:rsidRDefault="00D509BC" w:rsidP="00D509BC">
      <w:pPr>
        <w:spacing w:after="0" w:line="240" w:lineRule="auto"/>
        <w:jc w:val="both"/>
        <w:rPr>
          <w:rFonts w:ascii="Verdana" w:hAnsi="Verdana"/>
        </w:rPr>
      </w:pPr>
    </w:p>
    <w:p w:rsidR="00D509BC" w:rsidRDefault="00D509BC" w:rsidP="00D509BC">
      <w:pPr>
        <w:keepNext/>
        <w:keepLines/>
        <w:spacing w:after="0" w:line="240" w:lineRule="auto"/>
        <w:jc w:val="center"/>
        <w:rPr>
          <w:rFonts w:ascii="Verdana" w:hAnsi="Verdana"/>
        </w:rPr>
      </w:pPr>
      <w:r>
        <w:rPr>
          <w:rFonts w:ascii="Verdana" w:hAnsi="Verdana"/>
        </w:rPr>
        <w:lastRenderedPageBreak/>
        <w:t>Tabla 2</w:t>
      </w:r>
      <w:r w:rsidRPr="00D509BC">
        <w:rPr>
          <w:rFonts w:ascii="Verdana" w:hAnsi="Verdana"/>
        </w:rPr>
        <w:t>.7. Porcentaje de trabajadores afiliados a sindicatos que contestan afirmativamente a la pregunta sobre existencia de representación sindical en la empresa, 2002</w:t>
      </w:r>
    </w:p>
    <w:p w:rsidR="00D509BC" w:rsidRPr="00D509BC" w:rsidRDefault="00D509BC" w:rsidP="00D509BC">
      <w:pPr>
        <w:keepNext/>
        <w:keepLines/>
        <w:spacing w:after="0" w:line="240" w:lineRule="auto"/>
        <w:jc w:val="center"/>
        <w:rPr>
          <w:rFonts w:ascii="Verdana" w:hAnsi="Verdana"/>
        </w:rPr>
      </w:pPr>
    </w:p>
    <w:tbl>
      <w:tblPr>
        <w:tblW w:w="297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27"/>
        <w:gridCol w:w="850"/>
      </w:tblGrid>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República</w:t>
            </w:r>
            <w:proofErr w:type="spellEnd"/>
            <w:r w:rsidRPr="00D509BC">
              <w:rPr>
                <w:rFonts w:ascii="Verdana" w:hAnsi="Verdana"/>
                <w:color w:val="000000"/>
                <w:sz w:val="20"/>
                <w:szCs w:val="20"/>
                <w:lang w:val="en-US" w:eastAsia="es-ES"/>
              </w:rPr>
              <w:t xml:space="preserve"> </w:t>
            </w:r>
            <w:proofErr w:type="spellStart"/>
            <w:r w:rsidRPr="00D509BC">
              <w:rPr>
                <w:rFonts w:ascii="Verdana" w:hAnsi="Verdana"/>
                <w:color w:val="000000"/>
                <w:sz w:val="20"/>
                <w:szCs w:val="20"/>
                <w:lang w:val="en-US" w:eastAsia="es-ES"/>
              </w:rPr>
              <w:t>Checa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98,3</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Irlanda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97,8</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Polonia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97,1</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Eslovenia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96,6</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Francia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96,3</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Noruega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95,9</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r w:rsidRPr="00D509BC">
              <w:rPr>
                <w:rFonts w:ascii="Verdana" w:hAnsi="Verdana"/>
                <w:color w:val="000000"/>
                <w:sz w:val="20"/>
                <w:szCs w:val="20"/>
                <w:lang w:val="en-US" w:eastAsia="es-ES"/>
              </w:rPr>
              <w:t>Italia</w:t>
            </w:r>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94,5</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Hungría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94,1</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Reino</w:t>
            </w:r>
            <w:proofErr w:type="spellEnd"/>
            <w:r w:rsidRPr="00D509BC">
              <w:rPr>
                <w:rFonts w:ascii="Verdana" w:hAnsi="Verdana"/>
                <w:color w:val="000000"/>
                <w:sz w:val="20"/>
                <w:szCs w:val="20"/>
                <w:lang w:val="en-US" w:eastAsia="es-ES"/>
              </w:rPr>
              <w:t xml:space="preserve"> </w:t>
            </w:r>
            <w:proofErr w:type="spellStart"/>
            <w:r w:rsidRPr="00D509BC">
              <w:rPr>
                <w:rFonts w:ascii="Verdana" w:hAnsi="Verdana"/>
                <w:color w:val="000000"/>
                <w:sz w:val="20"/>
                <w:szCs w:val="20"/>
                <w:lang w:val="en-US" w:eastAsia="es-ES"/>
              </w:rPr>
              <w:t>Unido</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92,3</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olor w:val="000000"/>
                    <w:sz w:val="20"/>
                    <w:szCs w:val="20"/>
                    <w:lang w:val="en-US" w:eastAsia="es-ES"/>
                  </w:rPr>
                  <w:t>Austria</w:t>
                </w:r>
              </w:smartTag>
            </w:smartTag>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90,4</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Suecia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90,2</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Grecia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89,8</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Finlandia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87,2</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Holanda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85,6</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Alemania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85,5</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Luxemburgo</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85,2</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olor w:val="000000"/>
                    <w:sz w:val="20"/>
                    <w:szCs w:val="20"/>
                    <w:lang w:val="en-US" w:eastAsia="es-ES"/>
                  </w:rPr>
                  <w:t>Israel</w:t>
                </w:r>
              </w:smartTag>
            </w:smartTag>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83,3</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Suiza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82,6</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b/>
                <w:color w:val="000000"/>
                <w:sz w:val="20"/>
                <w:szCs w:val="20"/>
                <w:lang w:val="en-US" w:eastAsia="es-ES"/>
              </w:rPr>
            </w:pPr>
            <w:proofErr w:type="spellStart"/>
            <w:r w:rsidRPr="00D509BC">
              <w:rPr>
                <w:rFonts w:ascii="Verdana" w:hAnsi="Verdana"/>
                <w:b/>
                <w:color w:val="000000"/>
                <w:sz w:val="20"/>
                <w:szCs w:val="20"/>
                <w:lang w:val="en-US" w:eastAsia="es-ES"/>
              </w:rPr>
              <w:t>España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b/>
                <w:color w:val="000000"/>
                <w:sz w:val="20"/>
                <w:szCs w:val="20"/>
                <w:lang w:val="en-US" w:eastAsia="es-ES"/>
              </w:rPr>
            </w:pPr>
            <w:r w:rsidRPr="00D509BC">
              <w:rPr>
                <w:rFonts w:ascii="Verdana" w:hAnsi="Verdana"/>
                <w:b/>
                <w:color w:val="000000"/>
                <w:sz w:val="20"/>
                <w:szCs w:val="20"/>
                <w:lang w:val="en-US" w:eastAsia="es-ES"/>
              </w:rPr>
              <w:t>82,0</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olor w:val="000000"/>
                    <w:sz w:val="20"/>
                    <w:szCs w:val="20"/>
                    <w:lang w:val="en-US" w:eastAsia="es-ES"/>
                  </w:rPr>
                  <w:t>Portugal</w:t>
                </w:r>
              </w:smartTag>
            </w:smartTag>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74,2</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Bélgica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70,8</w:t>
            </w:r>
          </w:p>
        </w:tc>
      </w:tr>
      <w:tr w:rsidR="00D509BC" w:rsidRPr="00D509BC" w:rsidTr="00D509BC">
        <w:trPr>
          <w:trHeight w:val="300"/>
          <w:jc w:val="center"/>
        </w:trPr>
        <w:tc>
          <w:tcPr>
            <w:tcW w:w="2127" w:type="dxa"/>
            <w:tcBorders>
              <w:top w:val="single" w:sz="4" w:space="0" w:color="auto"/>
              <w:left w:val="single" w:sz="4" w:space="0" w:color="auto"/>
              <w:bottom w:val="single" w:sz="4" w:space="0" w:color="auto"/>
              <w:right w:val="single" w:sz="4" w:space="0" w:color="auto"/>
            </w:tcBorders>
            <w:vAlign w:val="bottom"/>
          </w:tcPr>
          <w:p w:rsidR="00D509BC" w:rsidRPr="00D509BC" w:rsidRDefault="00D509BC" w:rsidP="00D509BC">
            <w:pPr>
              <w:keepNext/>
              <w:keepLines/>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Dinamarca</w:t>
            </w:r>
            <w:proofErr w:type="spellEnd"/>
          </w:p>
        </w:tc>
        <w:tc>
          <w:tcPr>
            <w:tcW w:w="850" w:type="dxa"/>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keepNext/>
              <w:keepLines/>
              <w:spacing w:after="0" w:line="240" w:lineRule="auto"/>
              <w:jc w:val="right"/>
              <w:rPr>
                <w:rFonts w:ascii="Verdana" w:hAnsi="Verdana"/>
                <w:color w:val="000000"/>
                <w:sz w:val="20"/>
                <w:szCs w:val="20"/>
                <w:lang w:val="en-US" w:eastAsia="es-ES"/>
              </w:rPr>
            </w:pPr>
            <w:r w:rsidRPr="00D509BC">
              <w:rPr>
                <w:rFonts w:ascii="Verdana" w:hAnsi="Verdana"/>
                <w:color w:val="000000"/>
                <w:sz w:val="20"/>
                <w:szCs w:val="20"/>
                <w:lang w:val="en-US" w:eastAsia="es-ES"/>
              </w:rPr>
              <w:t>69,9</w:t>
            </w:r>
          </w:p>
        </w:tc>
      </w:tr>
    </w:tbl>
    <w:p w:rsidR="00D509BC" w:rsidRPr="00D509BC" w:rsidRDefault="00D509BC" w:rsidP="00D509BC">
      <w:pPr>
        <w:keepNext/>
        <w:keepLines/>
        <w:spacing w:after="0" w:line="240" w:lineRule="auto"/>
        <w:jc w:val="center"/>
        <w:rPr>
          <w:rFonts w:ascii="Verdana" w:hAnsi="Verdana"/>
          <w:sz w:val="20"/>
          <w:szCs w:val="20"/>
        </w:rPr>
      </w:pPr>
      <w:r w:rsidRPr="00D509BC">
        <w:rPr>
          <w:rFonts w:ascii="Verdana" w:hAnsi="Verdana"/>
          <w:sz w:val="20"/>
          <w:szCs w:val="20"/>
        </w:rPr>
        <w:t>Fuente: con datos de la Encuesta Social Europea 2002</w:t>
      </w:r>
    </w:p>
    <w:p w:rsidR="00D509BC" w:rsidRPr="00D509BC" w:rsidRDefault="00D509BC" w:rsidP="00D509BC">
      <w:pPr>
        <w:spacing w:after="0" w:line="240" w:lineRule="auto"/>
        <w:jc w:val="both"/>
        <w:rPr>
          <w:rFonts w:ascii="Verdana" w:hAnsi="Verdana"/>
        </w:rPr>
      </w:pPr>
    </w:p>
    <w:p w:rsidR="00D509BC" w:rsidRPr="00D509BC" w:rsidRDefault="00D509BC" w:rsidP="00D509BC">
      <w:pPr>
        <w:spacing w:after="0" w:line="240" w:lineRule="auto"/>
        <w:jc w:val="both"/>
        <w:rPr>
          <w:rFonts w:ascii="Verdana" w:hAnsi="Verdana"/>
        </w:rPr>
      </w:pPr>
      <w:r w:rsidRPr="00D509BC">
        <w:rPr>
          <w:rFonts w:ascii="Verdana" w:hAnsi="Verdana"/>
        </w:rPr>
        <w:t xml:space="preserve">Además del dato objetivo de la existencia de representación sindical en la empresa, una de las razones que puede explicar una mayor o menor afiliación al sindicato, es la percepción que manifiestan los entrevistados sobre las dificultades que puede encontrar el sindicato para determinar las condiciones laborales. En este sentido, la ESS dispone en sus olas de 2002 (y en este caso también en la de 2010) de una variable que recoge la percepción de los trabajadores sobre dicha cuestión. Tal y como muestra la tabla 3.8, resulta paradójico observar como entre los países donde los trabajadores perciben mayores dificultades de influencia de los sindicatos en la determinación de las condiciones laborales a nivel de empresa se encuentran algunos países del centro de Europa junto con otros de la Europa del este. Asimismo, esta variable recoge en gran medida el tipo de sistema de representación sindical y su grado de centralización o descentralización; o, dicho de otra manera, de división del trabajo entre organizaciones nacionales, regionales, sectoriales o de empresa. De esta forma puede explicarse que haya una percepción generalizada en el caso de Alemania sobre la dificultad de los representantes sindicales para influir en las condiciones laborales, ya que la acción de los sindicatos en la determinación de las condiciones laborales no se produce en la empresa sino en la negociación del convenio colectivo de sector. España ocupa una </w:t>
      </w:r>
      <w:r w:rsidRPr="00D509BC">
        <w:rPr>
          <w:rFonts w:ascii="Verdana" w:hAnsi="Verdana"/>
        </w:rPr>
        <w:lastRenderedPageBreak/>
        <w:t xml:space="preserve">posición intermedia entre los países europeos, con un porcentaje similar de aquellos que opinan que los sindicatos tienen dificultades para determinar las condiciones laborales y aquellos que opinan que es relativamente fácil. </w:t>
      </w:r>
    </w:p>
    <w:p w:rsidR="00D509BC" w:rsidRPr="00D509BC" w:rsidRDefault="00D509BC" w:rsidP="00D509BC">
      <w:pPr>
        <w:spacing w:after="0" w:line="240" w:lineRule="auto"/>
        <w:jc w:val="both"/>
        <w:rPr>
          <w:rFonts w:ascii="Verdana" w:hAnsi="Verdana"/>
        </w:rPr>
      </w:pPr>
    </w:p>
    <w:p w:rsidR="00D509BC" w:rsidRDefault="00D509BC" w:rsidP="00D509BC">
      <w:pPr>
        <w:spacing w:after="0" w:line="240" w:lineRule="auto"/>
        <w:jc w:val="center"/>
        <w:rPr>
          <w:rFonts w:ascii="Verdana" w:hAnsi="Verdana"/>
        </w:rPr>
      </w:pPr>
      <w:r>
        <w:rPr>
          <w:rFonts w:ascii="Verdana" w:hAnsi="Verdana"/>
        </w:rPr>
        <w:t>Tabla 2</w:t>
      </w:r>
      <w:r w:rsidRPr="00D509BC">
        <w:rPr>
          <w:rFonts w:ascii="Verdana" w:hAnsi="Verdana"/>
        </w:rPr>
        <w:t>.8. Porcentaje de trabajadores que responden que es fácil o difícil para el sindicato influir en la determinación de las condiciones laborales de los trabajadores, 2002.</w:t>
      </w:r>
    </w:p>
    <w:p w:rsidR="00D509BC" w:rsidRPr="00D509BC" w:rsidRDefault="00D509BC" w:rsidP="00D509BC">
      <w:pPr>
        <w:spacing w:after="0" w:line="240" w:lineRule="auto"/>
        <w:jc w:val="center"/>
        <w:rPr>
          <w:rFonts w:ascii="Verdana" w:hAnsi="Verdana"/>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89"/>
        <w:gridCol w:w="782"/>
        <w:gridCol w:w="1013"/>
        <w:gridCol w:w="659"/>
      </w:tblGrid>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b/>
                <w:color w:val="000000"/>
                <w:sz w:val="20"/>
                <w:szCs w:val="20"/>
                <w:lang w:val="en-US" w:eastAsia="es-ES"/>
              </w:rPr>
            </w:pPr>
            <w:proofErr w:type="spellStart"/>
            <w:r w:rsidRPr="00D509BC">
              <w:rPr>
                <w:rFonts w:ascii="Verdana" w:hAnsi="Verdana"/>
                <w:b/>
                <w:color w:val="000000"/>
                <w:sz w:val="20"/>
                <w:szCs w:val="20"/>
                <w:lang w:val="en-US" w:eastAsia="es-ES"/>
              </w:rPr>
              <w:t>Difícil</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b/>
                <w:color w:val="000000"/>
                <w:sz w:val="20"/>
                <w:szCs w:val="20"/>
                <w:lang w:val="en-US" w:eastAsia="es-ES"/>
              </w:rPr>
            </w:pPr>
            <w:r w:rsidRPr="00D509BC">
              <w:rPr>
                <w:rFonts w:ascii="Verdana" w:hAnsi="Verdana"/>
                <w:b/>
                <w:color w:val="000000"/>
                <w:sz w:val="20"/>
                <w:szCs w:val="20"/>
                <w:lang w:val="en-US" w:eastAsia="es-ES"/>
              </w:rPr>
              <w:t>Regular</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b/>
                <w:color w:val="000000"/>
                <w:sz w:val="20"/>
                <w:szCs w:val="20"/>
                <w:lang w:val="en-US" w:eastAsia="es-ES"/>
              </w:rPr>
            </w:pPr>
            <w:proofErr w:type="spellStart"/>
            <w:r w:rsidRPr="00D509BC">
              <w:rPr>
                <w:rFonts w:ascii="Verdana" w:hAnsi="Verdana"/>
                <w:b/>
                <w:color w:val="000000"/>
                <w:sz w:val="20"/>
                <w:szCs w:val="20"/>
                <w:lang w:val="en-US" w:eastAsia="es-ES"/>
              </w:rPr>
              <w:t>Fácil</w:t>
            </w:r>
            <w:proofErr w:type="spellEnd"/>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Noruega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18,2</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50,3</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31,6</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Irlanda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18,3</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47,3</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34,5</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Francia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22,2</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52,0</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25,9</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Dinamarca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22,7</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42,0</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35,3</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Suecia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22,8</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45,8</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31,4</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olor w:val="000000"/>
                    <w:sz w:val="20"/>
                    <w:szCs w:val="20"/>
                    <w:lang w:val="en-US" w:eastAsia="es-ES"/>
                  </w:rPr>
                  <w:t>Israel</w:t>
                </w:r>
              </w:smartTag>
            </w:smartTag>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23,0</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33,8</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43,2</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Reino</w:t>
            </w:r>
            <w:proofErr w:type="spellEnd"/>
            <w:r w:rsidRPr="00D509BC">
              <w:rPr>
                <w:rFonts w:ascii="Verdana" w:hAnsi="Verdana"/>
                <w:color w:val="000000"/>
                <w:sz w:val="20"/>
                <w:szCs w:val="20"/>
                <w:lang w:val="en-US" w:eastAsia="es-ES"/>
              </w:rPr>
              <w:t xml:space="preserve"> </w:t>
            </w:r>
            <w:proofErr w:type="spellStart"/>
            <w:r w:rsidRPr="00D509BC">
              <w:rPr>
                <w:rFonts w:ascii="Verdana" w:hAnsi="Verdana"/>
                <w:color w:val="000000"/>
                <w:sz w:val="20"/>
                <w:szCs w:val="20"/>
                <w:lang w:val="en-US" w:eastAsia="es-ES"/>
              </w:rPr>
              <w:t>Unido</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23,9</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45,4</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30,7</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r w:rsidRPr="00D509BC">
              <w:rPr>
                <w:rFonts w:ascii="Verdana" w:hAnsi="Verdana"/>
                <w:color w:val="000000"/>
                <w:sz w:val="20"/>
                <w:szCs w:val="20"/>
                <w:lang w:val="en-US" w:eastAsia="es-ES"/>
              </w:rPr>
              <w:t>Italia</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24,1</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46,5</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29,5</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Finlandia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25,0</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45,3</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29,7</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Bélgica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25,6</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45,5</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28,9</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Holanda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27,8</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48,1</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24,1</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b/>
                <w:color w:val="000000"/>
                <w:sz w:val="20"/>
                <w:szCs w:val="20"/>
                <w:lang w:val="en-US" w:eastAsia="es-ES"/>
              </w:rPr>
            </w:pPr>
            <w:proofErr w:type="spellStart"/>
            <w:r w:rsidRPr="00D509BC">
              <w:rPr>
                <w:rFonts w:ascii="Verdana" w:hAnsi="Verdana"/>
                <w:b/>
                <w:color w:val="000000"/>
                <w:sz w:val="20"/>
                <w:szCs w:val="20"/>
                <w:lang w:val="en-US" w:eastAsia="es-ES"/>
              </w:rPr>
              <w:t>España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b/>
                <w:color w:val="000000"/>
                <w:sz w:val="20"/>
                <w:szCs w:val="20"/>
                <w:lang w:val="en-US" w:eastAsia="es-ES"/>
              </w:rPr>
            </w:pPr>
            <w:r w:rsidRPr="00D509BC">
              <w:rPr>
                <w:rFonts w:ascii="Verdana" w:hAnsi="Verdana"/>
                <w:b/>
                <w:color w:val="000000"/>
                <w:sz w:val="20"/>
                <w:szCs w:val="20"/>
                <w:lang w:val="en-US" w:eastAsia="es-ES"/>
              </w:rPr>
              <w:t>28,7</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b/>
                <w:color w:val="000000"/>
                <w:sz w:val="20"/>
                <w:szCs w:val="20"/>
                <w:lang w:val="en-US" w:eastAsia="es-ES"/>
              </w:rPr>
            </w:pPr>
            <w:r w:rsidRPr="00D509BC">
              <w:rPr>
                <w:rFonts w:ascii="Verdana" w:hAnsi="Verdana"/>
                <w:b/>
                <w:color w:val="000000"/>
                <w:sz w:val="20"/>
                <w:szCs w:val="20"/>
                <w:lang w:val="en-US" w:eastAsia="es-ES"/>
              </w:rPr>
              <w:t>42,2</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b/>
                <w:color w:val="000000"/>
                <w:sz w:val="20"/>
                <w:szCs w:val="20"/>
                <w:lang w:val="en-US" w:eastAsia="es-ES"/>
              </w:rPr>
            </w:pPr>
            <w:r w:rsidRPr="00D509BC">
              <w:rPr>
                <w:rFonts w:ascii="Verdana" w:hAnsi="Verdana"/>
                <w:b/>
                <w:color w:val="000000"/>
                <w:sz w:val="20"/>
                <w:szCs w:val="20"/>
                <w:lang w:val="en-US" w:eastAsia="es-ES"/>
              </w:rPr>
              <w:t>29,1</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olor w:val="000000"/>
                    <w:sz w:val="20"/>
                    <w:szCs w:val="20"/>
                    <w:lang w:val="en-US" w:eastAsia="es-ES"/>
                  </w:rPr>
                  <w:t>Portugal</w:t>
                </w:r>
              </w:smartTag>
            </w:smartTag>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30,4</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48,2</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21,4</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Suiza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32,9</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43,7</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23,4</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Grecia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38,2</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36,9</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24,9</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smartTag w:uri="urn:schemas-microsoft-com:office:smarttags" w:element="country-region">
              <w:smartTag w:uri="urn:schemas-microsoft-com:office:smarttags" w:element="place">
                <w:r w:rsidRPr="00D509BC">
                  <w:rPr>
                    <w:rFonts w:ascii="Verdana" w:hAnsi="Verdana"/>
                    <w:color w:val="000000"/>
                    <w:sz w:val="20"/>
                    <w:szCs w:val="20"/>
                    <w:lang w:val="en-US" w:eastAsia="es-ES"/>
                  </w:rPr>
                  <w:t>Austria</w:t>
                </w:r>
              </w:smartTag>
            </w:smartTag>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38,7</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44,4</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17,0</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República</w:t>
            </w:r>
            <w:proofErr w:type="spellEnd"/>
            <w:r w:rsidRPr="00D509BC">
              <w:rPr>
                <w:rFonts w:ascii="Verdana" w:hAnsi="Verdana"/>
                <w:color w:val="000000"/>
                <w:sz w:val="20"/>
                <w:szCs w:val="20"/>
                <w:lang w:val="en-US" w:eastAsia="es-ES"/>
              </w:rPr>
              <w:t xml:space="preserve"> </w:t>
            </w:r>
            <w:proofErr w:type="spellStart"/>
            <w:r w:rsidRPr="00D509BC">
              <w:rPr>
                <w:rFonts w:ascii="Verdana" w:hAnsi="Verdana"/>
                <w:color w:val="000000"/>
                <w:sz w:val="20"/>
                <w:szCs w:val="20"/>
                <w:lang w:val="en-US" w:eastAsia="es-ES"/>
              </w:rPr>
              <w:t>Checa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38,9</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43,2</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17,9</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Hungría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40,6</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41,1</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18,3</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Luxemburgo</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41,2</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37,9</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20,9</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Alemania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41,8</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43,1</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15,2</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Polonia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44,9</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40,8</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14,3</w:t>
            </w:r>
          </w:p>
        </w:tc>
      </w:tr>
      <w:tr w:rsidR="00D509BC" w:rsidRPr="00D509BC" w:rsidTr="00D509B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rPr>
                <w:rFonts w:ascii="Verdana" w:hAnsi="Verdana"/>
                <w:color w:val="000000"/>
                <w:sz w:val="20"/>
                <w:szCs w:val="20"/>
                <w:lang w:val="en-US" w:eastAsia="es-ES"/>
              </w:rPr>
            </w:pPr>
            <w:proofErr w:type="spellStart"/>
            <w:r w:rsidRPr="00D509BC">
              <w:rPr>
                <w:rFonts w:ascii="Verdana" w:hAnsi="Verdana"/>
                <w:color w:val="000000"/>
                <w:sz w:val="20"/>
                <w:szCs w:val="20"/>
                <w:lang w:val="en-US" w:eastAsia="es-ES"/>
              </w:rPr>
              <w:t>Eslovenia</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49,6</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37,2</w:t>
            </w:r>
          </w:p>
        </w:tc>
        <w:tc>
          <w:tcPr>
            <w:tcW w:w="0" w:type="auto"/>
            <w:tcBorders>
              <w:top w:val="single" w:sz="4" w:space="0" w:color="auto"/>
              <w:left w:val="single" w:sz="4" w:space="0" w:color="auto"/>
              <w:bottom w:val="single" w:sz="4" w:space="0" w:color="auto"/>
              <w:right w:val="single" w:sz="4" w:space="0" w:color="auto"/>
            </w:tcBorders>
            <w:noWrap/>
            <w:vAlign w:val="bottom"/>
          </w:tcPr>
          <w:p w:rsidR="00D509BC" w:rsidRPr="00D509BC" w:rsidRDefault="00D509BC" w:rsidP="00D509BC">
            <w:pPr>
              <w:spacing w:after="0" w:line="240" w:lineRule="auto"/>
              <w:jc w:val="center"/>
              <w:rPr>
                <w:rFonts w:ascii="Verdana" w:hAnsi="Verdana"/>
                <w:color w:val="000000"/>
                <w:sz w:val="20"/>
                <w:szCs w:val="20"/>
                <w:lang w:val="en-US" w:eastAsia="es-ES"/>
              </w:rPr>
            </w:pPr>
            <w:r w:rsidRPr="00D509BC">
              <w:rPr>
                <w:rFonts w:ascii="Verdana" w:hAnsi="Verdana"/>
                <w:color w:val="000000"/>
                <w:sz w:val="20"/>
                <w:szCs w:val="20"/>
                <w:lang w:val="en-US" w:eastAsia="es-ES"/>
              </w:rPr>
              <w:t>13,2</w:t>
            </w:r>
          </w:p>
        </w:tc>
      </w:tr>
    </w:tbl>
    <w:p w:rsidR="00D509BC" w:rsidRPr="00D509BC" w:rsidRDefault="00D509BC" w:rsidP="00D509BC">
      <w:pPr>
        <w:spacing w:after="0" w:line="240" w:lineRule="auto"/>
        <w:jc w:val="center"/>
        <w:rPr>
          <w:rFonts w:ascii="Verdana" w:hAnsi="Verdana"/>
          <w:sz w:val="20"/>
          <w:szCs w:val="20"/>
        </w:rPr>
      </w:pPr>
      <w:r w:rsidRPr="00D509BC">
        <w:rPr>
          <w:rFonts w:ascii="Verdana" w:hAnsi="Verdana"/>
          <w:sz w:val="20"/>
          <w:szCs w:val="20"/>
        </w:rPr>
        <w:t>Fuente: con datos de la Encuesta Social Europea 2002</w:t>
      </w:r>
    </w:p>
    <w:p w:rsidR="00D509BC" w:rsidRPr="00D509BC" w:rsidRDefault="00D509BC" w:rsidP="00D509BC">
      <w:pPr>
        <w:spacing w:after="0" w:line="240" w:lineRule="auto"/>
        <w:jc w:val="both"/>
        <w:rPr>
          <w:rFonts w:ascii="Verdana" w:hAnsi="Verdana"/>
        </w:rPr>
      </w:pPr>
    </w:p>
    <w:p w:rsidR="00BF4F46" w:rsidRDefault="00BF4F46" w:rsidP="000E1970">
      <w:pPr>
        <w:spacing w:after="0" w:line="240" w:lineRule="auto"/>
        <w:jc w:val="both"/>
        <w:rPr>
          <w:rFonts w:ascii="Verdana" w:hAnsi="Verdana"/>
          <w:b/>
        </w:rPr>
      </w:pPr>
    </w:p>
    <w:p w:rsidR="00305FF7" w:rsidRDefault="00305FF7" w:rsidP="000E1970">
      <w:pPr>
        <w:spacing w:after="0" w:line="240" w:lineRule="auto"/>
        <w:jc w:val="both"/>
        <w:rPr>
          <w:rFonts w:ascii="Verdana" w:hAnsi="Verdana"/>
        </w:rPr>
      </w:pPr>
      <w:r>
        <w:rPr>
          <w:rFonts w:ascii="Verdana" w:hAnsi="Verdana"/>
          <w:b/>
        </w:rPr>
        <w:t>III.- EL CASO ESPAÑOL</w:t>
      </w:r>
    </w:p>
    <w:p w:rsidR="00305FF7" w:rsidRDefault="00305FF7" w:rsidP="000E1970">
      <w:pPr>
        <w:spacing w:after="0" w:line="240" w:lineRule="auto"/>
        <w:jc w:val="both"/>
        <w:rPr>
          <w:rFonts w:ascii="Verdana" w:hAnsi="Verdana"/>
        </w:rPr>
      </w:pPr>
    </w:p>
    <w:p w:rsidR="008E0628" w:rsidRPr="008E0628" w:rsidRDefault="008E0628" w:rsidP="008E0628">
      <w:pPr>
        <w:spacing w:after="0" w:line="240" w:lineRule="auto"/>
        <w:jc w:val="both"/>
        <w:rPr>
          <w:rFonts w:ascii="Verdana" w:hAnsi="Verdana" w:cs="Arial"/>
        </w:rPr>
      </w:pPr>
      <w:r w:rsidRPr="008E0628">
        <w:rPr>
          <w:rFonts w:ascii="Verdana" w:hAnsi="Verdana" w:cs="Arial"/>
        </w:rPr>
        <w:t>La configuración legal de la representación de los trabajadores/as en nuestro país se inició en plena transición democrática, primero mediante el reconocimiento provisional de los derechos de sindicación (Ley 19/1977, de 1 de abril, de Asociación Sindical) y de elección de delegados/as y comités de empresa (RD 3149/1977, de 6 de diciembre), con posterior consagración constitucional (arts. 7 y 28.1 de la CE) y definitiva regulación normativa (Ley 8/1980 del Estatuto de los Trabajadores y Ley Orgánica 11/1985 de Libertad Sindical).</w:t>
      </w:r>
    </w:p>
    <w:p w:rsidR="008E0628" w:rsidRDefault="008E0628" w:rsidP="008E0628">
      <w:pPr>
        <w:spacing w:after="0" w:line="240" w:lineRule="auto"/>
        <w:jc w:val="both"/>
        <w:rPr>
          <w:rFonts w:ascii="Verdana" w:hAnsi="Verdana" w:cs="Arial"/>
        </w:rPr>
      </w:pPr>
    </w:p>
    <w:p w:rsidR="008E0628" w:rsidRDefault="008E0628" w:rsidP="008E0628">
      <w:pPr>
        <w:spacing w:after="0" w:line="240" w:lineRule="auto"/>
        <w:jc w:val="both"/>
        <w:rPr>
          <w:rFonts w:ascii="Verdana" w:hAnsi="Verdana" w:cs="Arial"/>
        </w:rPr>
      </w:pPr>
    </w:p>
    <w:p w:rsidR="008E0628" w:rsidRDefault="008E0628" w:rsidP="008E0628">
      <w:pPr>
        <w:spacing w:after="0" w:line="240" w:lineRule="auto"/>
        <w:jc w:val="both"/>
        <w:rPr>
          <w:rFonts w:ascii="Verdana" w:hAnsi="Verdana" w:cs="Arial"/>
        </w:rPr>
      </w:pPr>
      <w:r w:rsidRPr="008E0628">
        <w:rPr>
          <w:rFonts w:ascii="Verdana" w:hAnsi="Verdana" w:cs="Arial"/>
        </w:rPr>
        <w:lastRenderedPageBreak/>
        <w:t xml:space="preserve">Resultante de este proceso fue un modelo de </w:t>
      </w:r>
      <w:r w:rsidRPr="008E0628">
        <w:rPr>
          <w:rFonts w:ascii="Verdana" w:hAnsi="Verdana" w:cs="Arial"/>
          <w:i/>
        </w:rPr>
        <w:t xml:space="preserve">doble canal, </w:t>
      </w:r>
      <w:r w:rsidRPr="008E0628">
        <w:rPr>
          <w:rFonts w:ascii="Verdana" w:hAnsi="Verdana" w:cs="Arial"/>
        </w:rPr>
        <w:t>asociativo (afiliación directa) y electivo (representación delegada), cuya articulación está regulada legal y sindicalmente a tres niveles:</w:t>
      </w:r>
    </w:p>
    <w:p w:rsidR="008E0628" w:rsidRPr="008E0628" w:rsidRDefault="008E0628" w:rsidP="008E0628">
      <w:pPr>
        <w:spacing w:after="0" w:line="240" w:lineRule="auto"/>
        <w:jc w:val="both"/>
        <w:rPr>
          <w:rFonts w:ascii="Verdana" w:hAnsi="Verdana" w:cs="Arial"/>
        </w:rPr>
      </w:pPr>
    </w:p>
    <w:p w:rsidR="008E0628" w:rsidRPr="008E0628" w:rsidRDefault="008E0628" w:rsidP="008E0628">
      <w:pPr>
        <w:numPr>
          <w:ilvl w:val="0"/>
          <w:numId w:val="5"/>
        </w:numPr>
        <w:suppressAutoHyphens/>
        <w:spacing w:after="0" w:line="240" w:lineRule="auto"/>
        <w:jc w:val="both"/>
        <w:rPr>
          <w:rFonts w:ascii="Verdana" w:hAnsi="Verdana" w:cs="Arial"/>
        </w:rPr>
      </w:pPr>
      <w:r w:rsidRPr="008E0628">
        <w:rPr>
          <w:rFonts w:ascii="Verdana" w:hAnsi="Verdana" w:cs="Arial"/>
          <w:i/>
        </w:rPr>
        <w:t xml:space="preserve">Empresa: </w:t>
      </w:r>
      <w:r w:rsidRPr="008E0628">
        <w:rPr>
          <w:rFonts w:ascii="Verdana" w:hAnsi="Verdana" w:cs="Arial"/>
        </w:rPr>
        <w:t>la interlocución y negociación con la dirección de la misma corresponde a la representación unitaria (canal electivo) de los trabajadores (arts. 67 y 87.1), aunque para las grandes compañías la LOLS (arts. 8 y 10) regula los derechos correspondientes a las secciones sindicales (canal asociativo).</w:t>
      </w:r>
    </w:p>
    <w:p w:rsidR="008E0628" w:rsidRPr="008E0628" w:rsidRDefault="008E0628" w:rsidP="008E0628">
      <w:pPr>
        <w:numPr>
          <w:ilvl w:val="0"/>
          <w:numId w:val="5"/>
        </w:numPr>
        <w:suppressAutoHyphens/>
        <w:spacing w:after="0" w:line="240" w:lineRule="auto"/>
        <w:jc w:val="both"/>
        <w:rPr>
          <w:rFonts w:ascii="Verdana" w:hAnsi="Verdana" w:cs="Arial"/>
          <w:i/>
        </w:rPr>
      </w:pPr>
      <w:r w:rsidRPr="008E0628">
        <w:rPr>
          <w:rFonts w:ascii="Verdana" w:hAnsi="Verdana" w:cs="Arial"/>
          <w:i/>
        </w:rPr>
        <w:t xml:space="preserve">Sectorial: </w:t>
      </w:r>
      <w:r w:rsidRPr="008E0628">
        <w:rPr>
          <w:rFonts w:ascii="Verdana" w:hAnsi="Verdana" w:cs="Arial"/>
        </w:rPr>
        <w:t>están legitimados para la negociación colectiva los sindicatos en función de su representatividad electoral (art. 87.2 del ET): un mínimo del 10% de la representación acumulada en el ámbito de referencia (15% si se trata de organizaciones regionales), por sí mismos y por “irradiación” como integrantes de las organizaciones acreditadas como “más representativas” (art. 6.2.b de la LOLS).</w:t>
      </w:r>
    </w:p>
    <w:p w:rsidR="008E0628" w:rsidRPr="008E0628" w:rsidRDefault="008E0628" w:rsidP="008E0628">
      <w:pPr>
        <w:numPr>
          <w:ilvl w:val="0"/>
          <w:numId w:val="7"/>
        </w:numPr>
        <w:suppressAutoHyphens/>
        <w:spacing w:after="0" w:line="240" w:lineRule="auto"/>
        <w:jc w:val="both"/>
        <w:rPr>
          <w:rFonts w:ascii="Verdana" w:hAnsi="Verdana" w:cs="Arial"/>
        </w:rPr>
      </w:pPr>
      <w:r w:rsidRPr="008E0628">
        <w:rPr>
          <w:rFonts w:ascii="Verdana" w:hAnsi="Verdana" w:cs="Arial"/>
          <w:i/>
        </w:rPr>
        <w:t>Institucional:</w:t>
      </w:r>
      <w:r w:rsidRPr="008E0628">
        <w:rPr>
          <w:rFonts w:ascii="Verdana" w:hAnsi="Verdana" w:cs="Arial"/>
        </w:rPr>
        <w:t xml:space="preserve"> los sindicatos que acrediten electoralmente su representación mayoritaria tienen reconocida su participación en instancias públicas de consulta (Consejo Económico y Social, Seguridad Social, Fundación Tripartita para la formación, etc.) y en los procesos de diálogo social.</w:t>
      </w:r>
    </w:p>
    <w:p w:rsidR="008E0628" w:rsidRDefault="008E0628" w:rsidP="008E0628">
      <w:pPr>
        <w:spacing w:after="0" w:line="240" w:lineRule="auto"/>
        <w:jc w:val="both"/>
        <w:rPr>
          <w:rFonts w:ascii="Verdana" w:hAnsi="Verdana" w:cs="Arial"/>
        </w:rPr>
      </w:pPr>
    </w:p>
    <w:p w:rsidR="008E0628" w:rsidRPr="008E0628" w:rsidRDefault="008E0628" w:rsidP="008E0628">
      <w:pPr>
        <w:spacing w:after="0" w:line="240" w:lineRule="auto"/>
        <w:jc w:val="both"/>
        <w:rPr>
          <w:rFonts w:ascii="Verdana" w:hAnsi="Verdana" w:cs="Arial"/>
        </w:rPr>
      </w:pPr>
      <w:r w:rsidRPr="008E0628">
        <w:rPr>
          <w:rFonts w:ascii="Verdana" w:hAnsi="Verdana" w:cs="Arial"/>
        </w:rPr>
        <w:t>Se trata de un sistema con voluntad inclusiva que si, por una parte, parece desincentivar la afiliación directa al universalizar la cobertura de la intervención sindical, por otra contribuye a ampliar su área de influencia por la vía de la representación electoral, al tiempo que le aporta una incuestionable legitimidad democrática.</w:t>
      </w:r>
    </w:p>
    <w:p w:rsidR="008E0628" w:rsidRDefault="008E0628" w:rsidP="008E0628">
      <w:pPr>
        <w:keepNext/>
        <w:keepLines/>
        <w:autoSpaceDE w:val="0"/>
        <w:autoSpaceDN w:val="0"/>
        <w:adjustRightInd w:val="0"/>
        <w:spacing w:after="0" w:line="240" w:lineRule="auto"/>
        <w:jc w:val="both"/>
        <w:rPr>
          <w:rFonts w:ascii="Verdana" w:hAnsi="Verdana" w:cs="Calibri"/>
        </w:rPr>
      </w:pPr>
    </w:p>
    <w:p w:rsidR="008E0628" w:rsidRDefault="008E0628" w:rsidP="008E0628">
      <w:pPr>
        <w:keepNext/>
        <w:keepLines/>
        <w:autoSpaceDE w:val="0"/>
        <w:autoSpaceDN w:val="0"/>
        <w:adjustRightInd w:val="0"/>
        <w:spacing w:after="0" w:line="240" w:lineRule="auto"/>
        <w:jc w:val="both"/>
        <w:rPr>
          <w:rFonts w:ascii="Verdana" w:hAnsi="Verdana" w:cs="Calibri"/>
        </w:rPr>
      </w:pPr>
    </w:p>
    <w:p w:rsidR="008E0628" w:rsidRPr="008E0628" w:rsidRDefault="008E0628" w:rsidP="008E0628">
      <w:pPr>
        <w:keepNext/>
        <w:keepLines/>
        <w:autoSpaceDE w:val="0"/>
        <w:autoSpaceDN w:val="0"/>
        <w:adjustRightInd w:val="0"/>
        <w:spacing w:after="0" w:line="240" w:lineRule="auto"/>
        <w:jc w:val="both"/>
        <w:rPr>
          <w:rFonts w:ascii="Verdana" w:hAnsi="Verdana" w:cs="Calibri"/>
          <w:b/>
        </w:rPr>
      </w:pPr>
      <w:r w:rsidRPr="008E0628">
        <w:rPr>
          <w:rFonts w:ascii="Verdana" w:hAnsi="Verdana" w:cs="Calibri"/>
          <w:b/>
        </w:rPr>
        <w:t>III.1.- Estructura de la representación</w:t>
      </w:r>
    </w:p>
    <w:p w:rsidR="008E0628" w:rsidRDefault="008E0628" w:rsidP="008E0628">
      <w:pPr>
        <w:keepNext/>
        <w:keepLines/>
        <w:autoSpaceDE w:val="0"/>
        <w:autoSpaceDN w:val="0"/>
        <w:adjustRightInd w:val="0"/>
        <w:spacing w:after="0" w:line="240" w:lineRule="auto"/>
        <w:jc w:val="both"/>
        <w:rPr>
          <w:rFonts w:ascii="Verdana" w:hAnsi="Verdana" w:cs="Calibri"/>
        </w:rPr>
      </w:pPr>
    </w:p>
    <w:p w:rsidR="008E0628" w:rsidRPr="008E0628" w:rsidRDefault="008E0628" w:rsidP="008E0628">
      <w:pPr>
        <w:keepNext/>
        <w:keepLines/>
        <w:autoSpaceDE w:val="0"/>
        <w:autoSpaceDN w:val="0"/>
        <w:adjustRightInd w:val="0"/>
        <w:spacing w:after="0" w:line="240" w:lineRule="auto"/>
        <w:jc w:val="both"/>
        <w:rPr>
          <w:rFonts w:ascii="Verdana" w:hAnsi="Verdana" w:cs="Calibri"/>
        </w:rPr>
      </w:pPr>
      <w:r w:rsidRPr="008E0628">
        <w:rPr>
          <w:rFonts w:ascii="Verdana" w:hAnsi="Verdana" w:cs="Calibri"/>
        </w:rPr>
        <w:t>Desde la primera convocatoria de elecciones sindicales a principios de 1978, anterior incluso a la regulación normativa del modelo por el Estatuto de los Trabajadores, la evolución de su</w:t>
      </w:r>
      <w:r>
        <w:rPr>
          <w:rFonts w:ascii="Verdana" w:hAnsi="Verdana" w:cs="Calibri"/>
        </w:rPr>
        <w:t xml:space="preserve"> cobertura y resultados (tabla 3</w:t>
      </w:r>
      <w:r w:rsidRPr="008E0628">
        <w:rPr>
          <w:rFonts w:ascii="Verdana" w:hAnsi="Verdana" w:cs="Calibri"/>
        </w:rPr>
        <w:t xml:space="preserve">.1) refleja tanto las oscilaciones del cambio económico y ocupacional como la recomposición interna del propio movimiento sindical: eclosión inicial de perfiles difusos y escasa capacidad de consolidación; posterior reajuste a la </w:t>
      </w:r>
      <w:proofErr w:type="gramStart"/>
      <w:r w:rsidRPr="008E0628">
        <w:rPr>
          <w:rFonts w:ascii="Verdana" w:hAnsi="Verdana" w:cs="Calibri"/>
        </w:rPr>
        <w:t>baja</w:t>
      </w:r>
      <w:proofErr w:type="gramEnd"/>
      <w:r w:rsidRPr="008E0628">
        <w:rPr>
          <w:rFonts w:ascii="Verdana" w:hAnsi="Verdana" w:cs="Calibri"/>
        </w:rPr>
        <w:t xml:space="preserve"> (1980-1982), recuperación entre 1986 y 1990; caída y expansión sostenida a partir de mediados de los noventa; nuevo cambio de tendencia a partir de 2007, como consecuencia de la crisis económica.</w:t>
      </w:r>
    </w:p>
    <w:p w:rsidR="008E0628" w:rsidRPr="008E0628" w:rsidRDefault="008E0628" w:rsidP="008E0628">
      <w:pPr>
        <w:widowControl w:val="0"/>
        <w:autoSpaceDE w:val="0"/>
        <w:autoSpaceDN w:val="0"/>
        <w:adjustRightInd w:val="0"/>
        <w:spacing w:after="0" w:line="240" w:lineRule="auto"/>
        <w:jc w:val="both"/>
        <w:rPr>
          <w:rFonts w:ascii="Verdana" w:hAnsi="Verdana" w:cs="Calibri"/>
        </w:rPr>
      </w:pPr>
    </w:p>
    <w:p w:rsidR="008E0628" w:rsidRPr="008E0628" w:rsidRDefault="008E0628" w:rsidP="008E0628">
      <w:pPr>
        <w:keepNext/>
        <w:keepLines/>
        <w:widowControl w:val="0"/>
        <w:autoSpaceDE w:val="0"/>
        <w:autoSpaceDN w:val="0"/>
        <w:adjustRightInd w:val="0"/>
        <w:spacing w:after="0" w:line="240" w:lineRule="auto"/>
        <w:jc w:val="center"/>
        <w:rPr>
          <w:rFonts w:cs="Calibri"/>
          <w:bCs/>
        </w:rPr>
      </w:pPr>
      <w:r w:rsidRPr="008E0628">
        <w:rPr>
          <w:rFonts w:cs="Calibri"/>
        </w:rPr>
        <w:lastRenderedPageBreak/>
        <w:t>Tabla 3</w:t>
      </w:r>
      <w:r w:rsidRPr="008E0628">
        <w:rPr>
          <w:rFonts w:cs="Calibri"/>
        </w:rPr>
        <w:t xml:space="preserve">.1. </w:t>
      </w:r>
      <w:r w:rsidRPr="008E0628">
        <w:rPr>
          <w:rFonts w:cs="Calibri"/>
          <w:bCs/>
        </w:rPr>
        <w:t>Elecciones sindicales (1978-2012)</w:t>
      </w:r>
    </w:p>
    <w:p w:rsidR="008E0628" w:rsidRPr="008E0628" w:rsidRDefault="008E0628" w:rsidP="008E0628">
      <w:pPr>
        <w:keepNext/>
        <w:keepLines/>
        <w:widowControl w:val="0"/>
        <w:autoSpaceDE w:val="0"/>
        <w:autoSpaceDN w:val="0"/>
        <w:adjustRightInd w:val="0"/>
        <w:spacing w:after="0" w:line="240" w:lineRule="auto"/>
        <w:jc w:val="center"/>
        <w:rPr>
          <w:rFonts w:cs="Calibri"/>
          <w:bCs/>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A0" w:firstRow="1" w:lastRow="0" w:firstColumn="1" w:lastColumn="0" w:noHBand="0" w:noVBand="0"/>
      </w:tblPr>
      <w:tblGrid>
        <w:gridCol w:w="646"/>
        <w:gridCol w:w="1179"/>
        <w:gridCol w:w="992"/>
        <w:gridCol w:w="567"/>
        <w:gridCol w:w="915"/>
        <w:gridCol w:w="594"/>
        <w:gridCol w:w="900"/>
        <w:gridCol w:w="594"/>
        <w:gridCol w:w="918"/>
        <w:gridCol w:w="594"/>
      </w:tblGrid>
      <w:tr w:rsidR="008E0628" w:rsidRPr="008E0628" w:rsidTr="00111BCB">
        <w:trPr>
          <w:jc w:val="center"/>
        </w:trPr>
        <w:tc>
          <w:tcPr>
            <w:tcW w:w="646" w:type="dxa"/>
            <w:tcBorders>
              <w:top w:val="double" w:sz="4" w:space="0" w:color="auto"/>
              <w:left w:val="double" w:sz="4" w:space="0" w:color="auto"/>
              <w:bottom w:val="nil"/>
              <w:right w:val="single" w:sz="6" w:space="0" w:color="auto"/>
            </w:tcBorders>
            <w:shd w:val="clear" w:color="auto" w:fill="C0C0C0"/>
          </w:tcPr>
          <w:p w:rsidR="008E0628" w:rsidRPr="008E0628" w:rsidRDefault="008E0628" w:rsidP="008E0628">
            <w:pPr>
              <w:keepNext/>
              <w:keepLines/>
              <w:widowControl w:val="0"/>
              <w:autoSpaceDE w:val="0"/>
              <w:autoSpaceDN w:val="0"/>
              <w:adjustRightInd w:val="0"/>
              <w:spacing w:after="0" w:line="240" w:lineRule="auto"/>
              <w:rPr>
                <w:rFonts w:cs="Calibri"/>
                <w:b/>
                <w:bCs/>
                <w:sz w:val="20"/>
                <w:szCs w:val="20"/>
                <w:lang w:val="en-US"/>
              </w:rPr>
            </w:pPr>
          </w:p>
        </w:tc>
        <w:tc>
          <w:tcPr>
            <w:tcW w:w="1179" w:type="dxa"/>
            <w:vMerge w:val="restart"/>
            <w:tcBorders>
              <w:top w:val="double" w:sz="4" w:space="0" w:color="auto"/>
              <w:left w:val="single" w:sz="6" w:space="0" w:color="auto"/>
              <w:bottom w:val="nil"/>
              <w:right w:val="single" w:sz="6" w:space="0" w:color="auto"/>
            </w:tcBorders>
            <w:shd w:val="clear" w:color="auto" w:fill="C0C0C0"/>
            <w:vAlign w:val="bottom"/>
          </w:tcPr>
          <w:p w:rsidR="008E0628" w:rsidRPr="008E0628" w:rsidRDefault="008E0628" w:rsidP="008E0628">
            <w:pPr>
              <w:keepNext/>
              <w:keepLines/>
              <w:widowControl w:val="0"/>
              <w:autoSpaceDE w:val="0"/>
              <w:autoSpaceDN w:val="0"/>
              <w:adjustRightInd w:val="0"/>
              <w:spacing w:after="0" w:line="240" w:lineRule="auto"/>
              <w:jc w:val="right"/>
              <w:rPr>
                <w:rFonts w:cs="Calibri"/>
                <w:b/>
                <w:bCs/>
                <w:sz w:val="20"/>
                <w:szCs w:val="20"/>
                <w:lang w:val="en-US"/>
              </w:rPr>
            </w:pPr>
            <w:r w:rsidRPr="008E0628">
              <w:rPr>
                <w:rFonts w:cs="Calibri"/>
                <w:b/>
                <w:bCs/>
                <w:sz w:val="20"/>
                <w:szCs w:val="20"/>
                <w:lang w:val="en-US"/>
              </w:rPr>
              <w:t>TOTAL DELEGADOS</w:t>
            </w:r>
          </w:p>
        </w:tc>
        <w:tc>
          <w:tcPr>
            <w:tcW w:w="1559" w:type="dxa"/>
            <w:gridSpan w:val="2"/>
            <w:tcBorders>
              <w:top w:val="double" w:sz="4" w:space="0" w:color="auto"/>
              <w:left w:val="single" w:sz="6" w:space="0" w:color="auto"/>
              <w:bottom w:val="nil"/>
              <w:right w:val="single" w:sz="6" w:space="0" w:color="auto"/>
            </w:tcBorders>
            <w:shd w:val="clear" w:color="auto" w:fill="C0C0C0"/>
            <w:vAlign w:val="bottom"/>
          </w:tcPr>
          <w:p w:rsidR="008E0628" w:rsidRPr="008E0628" w:rsidRDefault="008E0628" w:rsidP="008E0628">
            <w:pPr>
              <w:keepNext/>
              <w:keepLines/>
              <w:widowControl w:val="0"/>
              <w:autoSpaceDE w:val="0"/>
              <w:autoSpaceDN w:val="0"/>
              <w:adjustRightInd w:val="0"/>
              <w:spacing w:after="0" w:line="240" w:lineRule="auto"/>
              <w:jc w:val="center"/>
              <w:rPr>
                <w:rFonts w:cs="Calibri"/>
                <w:b/>
                <w:bCs/>
                <w:sz w:val="20"/>
                <w:szCs w:val="20"/>
                <w:lang w:val="en-US"/>
              </w:rPr>
            </w:pPr>
            <w:r w:rsidRPr="008E0628">
              <w:rPr>
                <w:rFonts w:cs="Calibri"/>
                <w:b/>
                <w:bCs/>
                <w:sz w:val="20"/>
                <w:szCs w:val="20"/>
                <w:lang w:val="en-US"/>
              </w:rPr>
              <w:t>CCOO</w:t>
            </w:r>
          </w:p>
        </w:tc>
        <w:tc>
          <w:tcPr>
            <w:tcW w:w="1509" w:type="dxa"/>
            <w:gridSpan w:val="2"/>
            <w:tcBorders>
              <w:top w:val="double" w:sz="4" w:space="0" w:color="auto"/>
              <w:left w:val="single" w:sz="6" w:space="0" w:color="auto"/>
              <w:bottom w:val="nil"/>
              <w:right w:val="single" w:sz="6" w:space="0" w:color="auto"/>
            </w:tcBorders>
            <w:shd w:val="clear" w:color="auto" w:fill="C0C0C0"/>
            <w:vAlign w:val="bottom"/>
          </w:tcPr>
          <w:p w:rsidR="008E0628" w:rsidRPr="008E0628" w:rsidRDefault="008E0628" w:rsidP="008E0628">
            <w:pPr>
              <w:keepNext/>
              <w:keepLines/>
              <w:widowControl w:val="0"/>
              <w:autoSpaceDE w:val="0"/>
              <w:autoSpaceDN w:val="0"/>
              <w:adjustRightInd w:val="0"/>
              <w:spacing w:after="0" w:line="240" w:lineRule="auto"/>
              <w:jc w:val="center"/>
              <w:rPr>
                <w:rFonts w:cs="Calibri"/>
                <w:b/>
                <w:bCs/>
                <w:sz w:val="20"/>
                <w:szCs w:val="20"/>
                <w:lang w:val="en-US"/>
              </w:rPr>
            </w:pPr>
            <w:r w:rsidRPr="008E0628">
              <w:rPr>
                <w:rFonts w:cs="Calibri"/>
                <w:b/>
                <w:bCs/>
                <w:sz w:val="20"/>
                <w:szCs w:val="20"/>
                <w:lang w:val="en-US"/>
              </w:rPr>
              <w:t>UGT</w:t>
            </w:r>
          </w:p>
        </w:tc>
        <w:tc>
          <w:tcPr>
            <w:tcW w:w="1494" w:type="dxa"/>
            <w:gridSpan w:val="2"/>
            <w:tcBorders>
              <w:top w:val="double" w:sz="4" w:space="0" w:color="auto"/>
              <w:left w:val="single" w:sz="6" w:space="0" w:color="auto"/>
              <w:bottom w:val="nil"/>
              <w:right w:val="single" w:sz="6" w:space="0" w:color="auto"/>
            </w:tcBorders>
            <w:shd w:val="clear" w:color="auto" w:fill="C0C0C0"/>
            <w:vAlign w:val="bottom"/>
          </w:tcPr>
          <w:p w:rsidR="008E0628" w:rsidRPr="008E0628" w:rsidRDefault="008E0628" w:rsidP="008E0628">
            <w:pPr>
              <w:keepNext/>
              <w:keepLines/>
              <w:widowControl w:val="0"/>
              <w:autoSpaceDE w:val="0"/>
              <w:autoSpaceDN w:val="0"/>
              <w:adjustRightInd w:val="0"/>
              <w:spacing w:after="0" w:line="240" w:lineRule="auto"/>
              <w:jc w:val="center"/>
              <w:rPr>
                <w:rFonts w:cs="Calibri"/>
                <w:b/>
                <w:bCs/>
                <w:sz w:val="20"/>
                <w:szCs w:val="20"/>
                <w:lang w:val="en-US"/>
              </w:rPr>
            </w:pPr>
            <w:r w:rsidRPr="008E0628">
              <w:rPr>
                <w:rFonts w:cs="Calibri"/>
                <w:b/>
                <w:bCs/>
                <w:sz w:val="20"/>
                <w:szCs w:val="20"/>
                <w:lang w:val="en-US"/>
              </w:rPr>
              <w:t>OTROS</w:t>
            </w:r>
          </w:p>
        </w:tc>
        <w:tc>
          <w:tcPr>
            <w:tcW w:w="1512" w:type="dxa"/>
            <w:gridSpan w:val="2"/>
            <w:tcBorders>
              <w:top w:val="double" w:sz="4" w:space="0" w:color="auto"/>
              <w:left w:val="single" w:sz="6" w:space="0" w:color="auto"/>
              <w:bottom w:val="nil"/>
              <w:right w:val="double" w:sz="4" w:space="0" w:color="auto"/>
            </w:tcBorders>
            <w:shd w:val="clear" w:color="auto" w:fill="C0C0C0"/>
            <w:vAlign w:val="bottom"/>
          </w:tcPr>
          <w:p w:rsidR="008E0628" w:rsidRPr="008E0628" w:rsidRDefault="008E0628" w:rsidP="008E0628">
            <w:pPr>
              <w:keepNext/>
              <w:keepLines/>
              <w:widowControl w:val="0"/>
              <w:autoSpaceDE w:val="0"/>
              <w:autoSpaceDN w:val="0"/>
              <w:adjustRightInd w:val="0"/>
              <w:spacing w:after="0" w:line="240" w:lineRule="auto"/>
              <w:jc w:val="center"/>
              <w:rPr>
                <w:rFonts w:cs="Calibri"/>
                <w:b/>
                <w:bCs/>
                <w:sz w:val="20"/>
                <w:szCs w:val="20"/>
                <w:lang w:val="en-US"/>
              </w:rPr>
            </w:pPr>
            <w:r w:rsidRPr="008E0628">
              <w:rPr>
                <w:rFonts w:cs="Calibri"/>
                <w:b/>
                <w:bCs/>
                <w:sz w:val="20"/>
                <w:szCs w:val="20"/>
                <w:lang w:val="en-US"/>
              </w:rPr>
              <w:t xml:space="preserve">No </w:t>
            </w:r>
            <w:proofErr w:type="spellStart"/>
            <w:r w:rsidRPr="008E0628">
              <w:rPr>
                <w:rFonts w:cs="Calibri"/>
                <w:b/>
                <w:bCs/>
                <w:sz w:val="20"/>
                <w:szCs w:val="20"/>
                <w:lang w:val="en-US"/>
              </w:rPr>
              <w:t>sindicales</w:t>
            </w:r>
            <w:proofErr w:type="spellEnd"/>
          </w:p>
        </w:tc>
      </w:tr>
      <w:tr w:rsidR="008E0628" w:rsidRPr="008E0628" w:rsidTr="00111BCB">
        <w:trPr>
          <w:jc w:val="center"/>
        </w:trPr>
        <w:tc>
          <w:tcPr>
            <w:tcW w:w="646" w:type="dxa"/>
            <w:tcBorders>
              <w:top w:val="nil"/>
              <w:left w:val="double" w:sz="4" w:space="0" w:color="auto"/>
              <w:bottom w:val="nil"/>
              <w:right w:val="single" w:sz="6" w:space="0" w:color="auto"/>
            </w:tcBorders>
            <w:shd w:val="clear" w:color="auto" w:fill="C0C0C0"/>
          </w:tcPr>
          <w:p w:rsidR="008E0628" w:rsidRPr="008E0628" w:rsidRDefault="008E0628" w:rsidP="008E0628">
            <w:pPr>
              <w:keepNext/>
              <w:keepLines/>
              <w:widowControl w:val="0"/>
              <w:autoSpaceDE w:val="0"/>
              <w:autoSpaceDN w:val="0"/>
              <w:adjustRightInd w:val="0"/>
              <w:spacing w:after="0" w:line="240" w:lineRule="auto"/>
              <w:rPr>
                <w:rFonts w:cs="Calibri"/>
                <w:b/>
                <w:bCs/>
                <w:sz w:val="20"/>
                <w:szCs w:val="20"/>
                <w:lang w:val="en-US"/>
              </w:rPr>
            </w:pPr>
            <w:r w:rsidRPr="008E0628">
              <w:rPr>
                <w:rFonts w:cs="Calibri"/>
                <w:b/>
                <w:bCs/>
                <w:sz w:val="20"/>
                <w:szCs w:val="20"/>
                <w:lang w:val="en-US"/>
              </w:rPr>
              <w:t>AÑO</w:t>
            </w:r>
          </w:p>
        </w:tc>
        <w:tc>
          <w:tcPr>
            <w:tcW w:w="1179" w:type="dxa"/>
            <w:vMerge/>
            <w:tcBorders>
              <w:top w:val="double" w:sz="4" w:space="0" w:color="auto"/>
              <w:left w:val="single" w:sz="6" w:space="0" w:color="auto"/>
              <w:bottom w:val="nil"/>
              <w:right w:val="single" w:sz="6" w:space="0" w:color="auto"/>
            </w:tcBorders>
            <w:vAlign w:val="center"/>
          </w:tcPr>
          <w:p w:rsidR="008E0628" w:rsidRPr="008E0628" w:rsidRDefault="008E0628" w:rsidP="008E0628">
            <w:pPr>
              <w:spacing w:after="0" w:line="240" w:lineRule="auto"/>
              <w:rPr>
                <w:rFonts w:cs="Calibri"/>
                <w:b/>
                <w:bCs/>
                <w:sz w:val="20"/>
                <w:szCs w:val="20"/>
                <w:lang w:val="en-US"/>
              </w:rPr>
            </w:pPr>
          </w:p>
        </w:tc>
        <w:tc>
          <w:tcPr>
            <w:tcW w:w="992" w:type="dxa"/>
            <w:tcBorders>
              <w:top w:val="nil"/>
              <w:left w:val="single" w:sz="6" w:space="0" w:color="auto"/>
              <w:bottom w:val="nil"/>
              <w:right w:val="nil"/>
            </w:tcBorders>
            <w:shd w:val="clear" w:color="auto" w:fill="C0C0C0"/>
          </w:tcPr>
          <w:p w:rsidR="008E0628" w:rsidRPr="008E0628" w:rsidRDefault="008E0628" w:rsidP="008E0628">
            <w:pPr>
              <w:keepNext/>
              <w:keepLines/>
              <w:widowControl w:val="0"/>
              <w:autoSpaceDE w:val="0"/>
              <w:autoSpaceDN w:val="0"/>
              <w:adjustRightInd w:val="0"/>
              <w:spacing w:after="0" w:line="240" w:lineRule="auto"/>
              <w:jc w:val="right"/>
              <w:rPr>
                <w:rFonts w:cs="Calibri"/>
                <w:b/>
                <w:bCs/>
                <w:sz w:val="20"/>
                <w:szCs w:val="20"/>
                <w:lang w:val="en-US"/>
              </w:rPr>
            </w:pPr>
            <w:r w:rsidRPr="008E0628">
              <w:rPr>
                <w:rFonts w:cs="Calibri"/>
                <w:b/>
                <w:bCs/>
                <w:sz w:val="20"/>
                <w:szCs w:val="20"/>
                <w:lang w:val="en-US"/>
              </w:rPr>
              <w:t>Nº</w:t>
            </w:r>
          </w:p>
        </w:tc>
        <w:tc>
          <w:tcPr>
            <w:tcW w:w="567" w:type="dxa"/>
            <w:tcBorders>
              <w:top w:val="nil"/>
              <w:left w:val="nil"/>
              <w:bottom w:val="nil"/>
              <w:right w:val="single" w:sz="6" w:space="0" w:color="auto"/>
            </w:tcBorders>
            <w:shd w:val="clear" w:color="auto" w:fill="C0C0C0"/>
          </w:tcPr>
          <w:p w:rsidR="008E0628" w:rsidRPr="008E0628" w:rsidRDefault="008E0628" w:rsidP="008E0628">
            <w:pPr>
              <w:keepNext/>
              <w:keepLines/>
              <w:widowControl w:val="0"/>
              <w:autoSpaceDE w:val="0"/>
              <w:autoSpaceDN w:val="0"/>
              <w:adjustRightInd w:val="0"/>
              <w:spacing w:after="0" w:line="240" w:lineRule="auto"/>
              <w:jc w:val="right"/>
              <w:rPr>
                <w:rFonts w:cs="Calibri"/>
                <w:b/>
                <w:bCs/>
                <w:sz w:val="20"/>
                <w:szCs w:val="20"/>
                <w:lang w:val="en-US"/>
              </w:rPr>
            </w:pPr>
            <w:r w:rsidRPr="008E0628">
              <w:rPr>
                <w:rFonts w:cs="Calibri"/>
                <w:b/>
                <w:bCs/>
                <w:sz w:val="20"/>
                <w:szCs w:val="20"/>
                <w:lang w:val="en-US"/>
              </w:rPr>
              <w:t>%</w:t>
            </w:r>
          </w:p>
        </w:tc>
        <w:tc>
          <w:tcPr>
            <w:tcW w:w="915" w:type="dxa"/>
            <w:tcBorders>
              <w:top w:val="nil"/>
              <w:left w:val="single" w:sz="6" w:space="0" w:color="auto"/>
              <w:bottom w:val="nil"/>
              <w:right w:val="nil"/>
            </w:tcBorders>
            <w:shd w:val="clear" w:color="auto" w:fill="C0C0C0"/>
          </w:tcPr>
          <w:p w:rsidR="008E0628" w:rsidRPr="008E0628" w:rsidRDefault="008E0628" w:rsidP="008E0628">
            <w:pPr>
              <w:keepNext/>
              <w:keepLines/>
              <w:widowControl w:val="0"/>
              <w:autoSpaceDE w:val="0"/>
              <w:autoSpaceDN w:val="0"/>
              <w:adjustRightInd w:val="0"/>
              <w:spacing w:after="0" w:line="240" w:lineRule="auto"/>
              <w:jc w:val="center"/>
              <w:rPr>
                <w:rFonts w:cs="Calibri"/>
                <w:b/>
                <w:bCs/>
                <w:sz w:val="20"/>
                <w:szCs w:val="20"/>
                <w:lang w:val="en-US"/>
              </w:rPr>
            </w:pPr>
            <w:r w:rsidRPr="008E0628">
              <w:rPr>
                <w:rFonts w:cs="Calibri"/>
                <w:b/>
                <w:bCs/>
                <w:sz w:val="20"/>
                <w:szCs w:val="20"/>
                <w:lang w:val="en-US"/>
              </w:rPr>
              <w:t>Nº</w:t>
            </w:r>
          </w:p>
        </w:tc>
        <w:tc>
          <w:tcPr>
            <w:tcW w:w="594" w:type="dxa"/>
            <w:tcBorders>
              <w:top w:val="nil"/>
              <w:left w:val="nil"/>
              <w:bottom w:val="nil"/>
              <w:right w:val="single" w:sz="6" w:space="0" w:color="auto"/>
            </w:tcBorders>
            <w:shd w:val="clear" w:color="auto" w:fill="C0C0C0"/>
          </w:tcPr>
          <w:p w:rsidR="008E0628" w:rsidRPr="008E0628" w:rsidRDefault="008E0628" w:rsidP="008E0628">
            <w:pPr>
              <w:keepNext/>
              <w:keepLines/>
              <w:widowControl w:val="0"/>
              <w:autoSpaceDE w:val="0"/>
              <w:autoSpaceDN w:val="0"/>
              <w:adjustRightInd w:val="0"/>
              <w:spacing w:after="0" w:line="240" w:lineRule="auto"/>
              <w:jc w:val="center"/>
              <w:rPr>
                <w:rFonts w:cs="Calibri"/>
                <w:b/>
                <w:bCs/>
                <w:sz w:val="20"/>
                <w:szCs w:val="20"/>
                <w:lang w:val="en-US"/>
              </w:rPr>
            </w:pPr>
            <w:r w:rsidRPr="008E0628">
              <w:rPr>
                <w:rFonts w:cs="Calibri"/>
                <w:b/>
                <w:bCs/>
                <w:sz w:val="20"/>
                <w:szCs w:val="20"/>
                <w:lang w:val="en-US"/>
              </w:rPr>
              <w:t>%</w:t>
            </w:r>
          </w:p>
        </w:tc>
        <w:tc>
          <w:tcPr>
            <w:tcW w:w="900" w:type="dxa"/>
            <w:tcBorders>
              <w:top w:val="nil"/>
              <w:left w:val="single" w:sz="6" w:space="0" w:color="auto"/>
              <w:bottom w:val="nil"/>
              <w:right w:val="nil"/>
            </w:tcBorders>
            <w:shd w:val="clear" w:color="auto" w:fill="C0C0C0"/>
          </w:tcPr>
          <w:p w:rsidR="008E0628" w:rsidRPr="008E0628" w:rsidRDefault="008E0628" w:rsidP="008E0628">
            <w:pPr>
              <w:keepNext/>
              <w:keepLines/>
              <w:widowControl w:val="0"/>
              <w:autoSpaceDE w:val="0"/>
              <w:autoSpaceDN w:val="0"/>
              <w:adjustRightInd w:val="0"/>
              <w:spacing w:after="0" w:line="240" w:lineRule="auto"/>
              <w:jc w:val="center"/>
              <w:rPr>
                <w:rFonts w:cs="Calibri"/>
                <w:b/>
                <w:bCs/>
                <w:sz w:val="20"/>
                <w:szCs w:val="20"/>
                <w:lang w:val="en-US"/>
              </w:rPr>
            </w:pPr>
            <w:r w:rsidRPr="008E0628">
              <w:rPr>
                <w:rFonts w:cs="Calibri"/>
                <w:b/>
                <w:bCs/>
                <w:sz w:val="20"/>
                <w:szCs w:val="20"/>
                <w:lang w:val="en-US"/>
              </w:rPr>
              <w:t>Nº</w:t>
            </w:r>
          </w:p>
        </w:tc>
        <w:tc>
          <w:tcPr>
            <w:tcW w:w="594" w:type="dxa"/>
            <w:tcBorders>
              <w:top w:val="nil"/>
              <w:left w:val="nil"/>
              <w:bottom w:val="nil"/>
              <w:right w:val="single" w:sz="6" w:space="0" w:color="auto"/>
            </w:tcBorders>
            <w:shd w:val="clear" w:color="auto" w:fill="C0C0C0"/>
          </w:tcPr>
          <w:p w:rsidR="008E0628" w:rsidRPr="008E0628" w:rsidRDefault="008E0628" w:rsidP="008E0628">
            <w:pPr>
              <w:keepNext/>
              <w:keepLines/>
              <w:widowControl w:val="0"/>
              <w:autoSpaceDE w:val="0"/>
              <w:autoSpaceDN w:val="0"/>
              <w:adjustRightInd w:val="0"/>
              <w:spacing w:after="0" w:line="240" w:lineRule="auto"/>
              <w:jc w:val="center"/>
              <w:rPr>
                <w:rFonts w:cs="Calibri"/>
                <w:b/>
                <w:bCs/>
                <w:sz w:val="20"/>
                <w:szCs w:val="20"/>
                <w:lang w:val="en-US"/>
              </w:rPr>
            </w:pPr>
            <w:r w:rsidRPr="008E0628">
              <w:rPr>
                <w:rFonts w:cs="Calibri"/>
                <w:b/>
                <w:bCs/>
                <w:sz w:val="20"/>
                <w:szCs w:val="20"/>
                <w:lang w:val="en-US"/>
              </w:rPr>
              <w:t>%</w:t>
            </w:r>
          </w:p>
        </w:tc>
        <w:tc>
          <w:tcPr>
            <w:tcW w:w="918" w:type="dxa"/>
            <w:tcBorders>
              <w:top w:val="nil"/>
              <w:left w:val="single" w:sz="6" w:space="0" w:color="auto"/>
              <w:bottom w:val="nil"/>
              <w:right w:val="nil"/>
            </w:tcBorders>
            <w:shd w:val="clear" w:color="auto" w:fill="C0C0C0"/>
          </w:tcPr>
          <w:p w:rsidR="008E0628" w:rsidRPr="008E0628" w:rsidRDefault="008E0628" w:rsidP="008E0628">
            <w:pPr>
              <w:keepNext/>
              <w:keepLines/>
              <w:widowControl w:val="0"/>
              <w:autoSpaceDE w:val="0"/>
              <w:autoSpaceDN w:val="0"/>
              <w:adjustRightInd w:val="0"/>
              <w:spacing w:after="0" w:line="240" w:lineRule="auto"/>
              <w:jc w:val="center"/>
              <w:rPr>
                <w:rFonts w:cs="Calibri"/>
                <w:b/>
                <w:bCs/>
                <w:sz w:val="20"/>
                <w:szCs w:val="20"/>
                <w:lang w:val="en-US"/>
              </w:rPr>
            </w:pPr>
            <w:r w:rsidRPr="008E0628">
              <w:rPr>
                <w:rFonts w:cs="Calibri"/>
                <w:b/>
                <w:bCs/>
                <w:sz w:val="20"/>
                <w:szCs w:val="20"/>
                <w:lang w:val="en-US"/>
              </w:rPr>
              <w:t>Nº</w:t>
            </w:r>
          </w:p>
        </w:tc>
        <w:tc>
          <w:tcPr>
            <w:tcW w:w="594" w:type="dxa"/>
            <w:tcBorders>
              <w:top w:val="nil"/>
              <w:left w:val="nil"/>
              <w:bottom w:val="nil"/>
              <w:right w:val="double" w:sz="4" w:space="0" w:color="auto"/>
            </w:tcBorders>
            <w:shd w:val="clear" w:color="auto" w:fill="C0C0C0"/>
          </w:tcPr>
          <w:p w:rsidR="008E0628" w:rsidRPr="008E0628" w:rsidRDefault="008E0628" w:rsidP="008E0628">
            <w:pPr>
              <w:keepNext/>
              <w:keepLines/>
              <w:widowControl w:val="0"/>
              <w:autoSpaceDE w:val="0"/>
              <w:autoSpaceDN w:val="0"/>
              <w:adjustRightInd w:val="0"/>
              <w:spacing w:after="0" w:line="240" w:lineRule="auto"/>
              <w:jc w:val="center"/>
              <w:rPr>
                <w:rFonts w:cs="Calibri"/>
                <w:b/>
                <w:bCs/>
                <w:sz w:val="20"/>
                <w:szCs w:val="20"/>
                <w:lang w:val="en-US"/>
              </w:rPr>
            </w:pPr>
            <w:r w:rsidRPr="008E0628">
              <w:rPr>
                <w:rFonts w:cs="Calibri"/>
                <w:b/>
                <w:bCs/>
                <w:sz w:val="20"/>
                <w:szCs w:val="20"/>
                <w:lang w:val="en-US"/>
              </w:rPr>
              <w:t>%</w:t>
            </w:r>
          </w:p>
        </w:tc>
      </w:tr>
      <w:tr w:rsidR="008E0628" w:rsidRPr="008E0628" w:rsidTr="00111BCB">
        <w:trPr>
          <w:jc w:val="center"/>
        </w:trPr>
        <w:tc>
          <w:tcPr>
            <w:tcW w:w="646" w:type="dxa"/>
            <w:tcBorders>
              <w:top w:val="nil"/>
              <w:left w:val="double" w:sz="4"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rPr>
                <w:rFonts w:cs="Calibri"/>
                <w:sz w:val="20"/>
                <w:szCs w:val="20"/>
                <w:lang w:val="en-US"/>
              </w:rPr>
            </w:pPr>
            <w:r w:rsidRPr="008E0628">
              <w:rPr>
                <w:rFonts w:cs="Calibri"/>
                <w:sz w:val="20"/>
                <w:szCs w:val="20"/>
                <w:lang w:val="en-US"/>
              </w:rPr>
              <w:t>1978</w:t>
            </w:r>
          </w:p>
        </w:tc>
        <w:tc>
          <w:tcPr>
            <w:tcW w:w="1179" w:type="dxa"/>
            <w:tcBorders>
              <w:top w:val="nil"/>
              <w:left w:val="single" w:sz="6"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193.112</w:t>
            </w:r>
          </w:p>
        </w:tc>
        <w:tc>
          <w:tcPr>
            <w:tcW w:w="992"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66.540</w:t>
            </w:r>
          </w:p>
        </w:tc>
        <w:tc>
          <w:tcPr>
            <w:tcW w:w="567"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34,5</w:t>
            </w:r>
          </w:p>
        </w:tc>
        <w:tc>
          <w:tcPr>
            <w:tcW w:w="915"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41.897</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21,7</w:t>
            </w:r>
          </w:p>
        </w:tc>
        <w:tc>
          <w:tcPr>
            <w:tcW w:w="900"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25.953</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13,4</w:t>
            </w:r>
          </w:p>
        </w:tc>
        <w:tc>
          <w:tcPr>
            <w:tcW w:w="918"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58.725</w:t>
            </w:r>
          </w:p>
        </w:tc>
        <w:tc>
          <w:tcPr>
            <w:tcW w:w="594" w:type="dxa"/>
            <w:tcBorders>
              <w:top w:val="nil"/>
              <w:left w:val="nil"/>
              <w:bottom w:val="nil"/>
              <w:right w:val="double" w:sz="4"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30,4</w:t>
            </w:r>
          </w:p>
        </w:tc>
      </w:tr>
      <w:tr w:rsidR="008E0628" w:rsidRPr="008E0628" w:rsidTr="00111BCB">
        <w:trPr>
          <w:jc w:val="center"/>
        </w:trPr>
        <w:tc>
          <w:tcPr>
            <w:tcW w:w="646" w:type="dxa"/>
            <w:tcBorders>
              <w:top w:val="nil"/>
              <w:left w:val="double" w:sz="4"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rPr>
                <w:rFonts w:cs="Calibri"/>
                <w:sz w:val="20"/>
                <w:szCs w:val="20"/>
                <w:lang w:val="en-US"/>
              </w:rPr>
            </w:pPr>
            <w:r w:rsidRPr="008E0628">
              <w:rPr>
                <w:rFonts w:cs="Calibri"/>
                <w:sz w:val="20"/>
                <w:szCs w:val="20"/>
                <w:lang w:val="en-US"/>
              </w:rPr>
              <w:t>1980</w:t>
            </w:r>
          </w:p>
        </w:tc>
        <w:tc>
          <w:tcPr>
            <w:tcW w:w="1179" w:type="dxa"/>
            <w:tcBorders>
              <w:top w:val="nil"/>
              <w:left w:val="single" w:sz="6"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164.617</w:t>
            </w:r>
          </w:p>
        </w:tc>
        <w:tc>
          <w:tcPr>
            <w:tcW w:w="992"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50.817</w:t>
            </w:r>
          </w:p>
        </w:tc>
        <w:tc>
          <w:tcPr>
            <w:tcW w:w="567"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30,8</w:t>
            </w:r>
          </w:p>
        </w:tc>
        <w:tc>
          <w:tcPr>
            <w:tcW w:w="915"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48.194</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29,3</w:t>
            </w:r>
          </w:p>
        </w:tc>
        <w:tc>
          <w:tcPr>
            <w:tcW w:w="900"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22.053</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13,4</w:t>
            </w:r>
          </w:p>
        </w:tc>
        <w:tc>
          <w:tcPr>
            <w:tcW w:w="918"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43.553</w:t>
            </w:r>
          </w:p>
        </w:tc>
        <w:tc>
          <w:tcPr>
            <w:tcW w:w="594" w:type="dxa"/>
            <w:tcBorders>
              <w:top w:val="nil"/>
              <w:left w:val="nil"/>
              <w:bottom w:val="nil"/>
              <w:right w:val="double" w:sz="4"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26,5</w:t>
            </w:r>
          </w:p>
        </w:tc>
      </w:tr>
      <w:tr w:rsidR="008E0628" w:rsidRPr="008E0628" w:rsidTr="00111BCB">
        <w:trPr>
          <w:jc w:val="center"/>
        </w:trPr>
        <w:tc>
          <w:tcPr>
            <w:tcW w:w="646" w:type="dxa"/>
            <w:tcBorders>
              <w:top w:val="nil"/>
              <w:left w:val="double" w:sz="4"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rPr>
                <w:rFonts w:cs="Calibri"/>
                <w:sz w:val="20"/>
                <w:szCs w:val="20"/>
                <w:lang w:val="en-US"/>
              </w:rPr>
            </w:pPr>
            <w:r w:rsidRPr="008E0628">
              <w:rPr>
                <w:rFonts w:cs="Calibri"/>
                <w:sz w:val="20"/>
                <w:szCs w:val="20"/>
                <w:lang w:val="en-US"/>
              </w:rPr>
              <w:t>1982</w:t>
            </w:r>
          </w:p>
        </w:tc>
        <w:tc>
          <w:tcPr>
            <w:tcW w:w="1179" w:type="dxa"/>
            <w:tcBorders>
              <w:top w:val="nil"/>
              <w:left w:val="single" w:sz="6"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140.770</w:t>
            </w:r>
          </w:p>
        </w:tc>
        <w:tc>
          <w:tcPr>
            <w:tcW w:w="992"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47.016</w:t>
            </w:r>
          </w:p>
        </w:tc>
        <w:tc>
          <w:tcPr>
            <w:tcW w:w="567"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33,4</w:t>
            </w:r>
          </w:p>
        </w:tc>
        <w:tc>
          <w:tcPr>
            <w:tcW w:w="915"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51.672</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36,7</w:t>
            </w:r>
          </w:p>
        </w:tc>
        <w:tc>
          <w:tcPr>
            <w:tcW w:w="900"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25.058</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17,8</w:t>
            </w:r>
          </w:p>
        </w:tc>
        <w:tc>
          <w:tcPr>
            <w:tcW w:w="918"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17.024</w:t>
            </w:r>
          </w:p>
        </w:tc>
        <w:tc>
          <w:tcPr>
            <w:tcW w:w="594" w:type="dxa"/>
            <w:tcBorders>
              <w:top w:val="nil"/>
              <w:left w:val="nil"/>
              <w:bottom w:val="nil"/>
              <w:right w:val="double" w:sz="4"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12,1</w:t>
            </w:r>
          </w:p>
        </w:tc>
      </w:tr>
      <w:tr w:rsidR="008E0628" w:rsidRPr="008E0628" w:rsidTr="00111BCB">
        <w:trPr>
          <w:jc w:val="center"/>
        </w:trPr>
        <w:tc>
          <w:tcPr>
            <w:tcW w:w="646" w:type="dxa"/>
            <w:tcBorders>
              <w:top w:val="nil"/>
              <w:left w:val="double" w:sz="4"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rPr>
                <w:rFonts w:cs="Calibri"/>
                <w:sz w:val="20"/>
                <w:szCs w:val="20"/>
                <w:lang w:val="en-US"/>
              </w:rPr>
            </w:pPr>
            <w:r w:rsidRPr="008E0628">
              <w:rPr>
                <w:rFonts w:cs="Calibri"/>
                <w:sz w:val="20"/>
                <w:szCs w:val="20"/>
                <w:lang w:val="en-US"/>
              </w:rPr>
              <w:t>1986</w:t>
            </w:r>
          </w:p>
        </w:tc>
        <w:tc>
          <w:tcPr>
            <w:tcW w:w="1179" w:type="dxa"/>
            <w:tcBorders>
              <w:top w:val="nil"/>
              <w:left w:val="single" w:sz="6"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175.363</w:t>
            </w:r>
          </w:p>
        </w:tc>
        <w:tc>
          <w:tcPr>
            <w:tcW w:w="992"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59.230</w:t>
            </w:r>
          </w:p>
        </w:tc>
        <w:tc>
          <w:tcPr>
            <w:tcW w:w="567"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33,8</w:t>
            </w:r>
          </w:p>
        </w:tc>
        <w:tc>
          <w:tcPr>
            <w:tcW w:w="915"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69.427</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39,6</w:t>
            </w:r>
          </w:p>
        </w:tc>
        <w:tc>
          <w:tcPr>
            <w:tcW w:w="900"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33.998</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19,4</w:t>
            </w:r>
          </w:p>
        </w:tc>
        <w:tc>
          <w:tcPr>
            <w:tcW w:w="918"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12.708</w:t>
            </w:r>
          </w:p>
        </w:tc>
        <w:tc>
          <w:tcPr>
            <w:tcW w:w="594" w:type="dxa"/>
            <w:tcBorders>
              <w:top w:val="nil"/>
              <w:left w:val="nil"/>
              <w:bottom w:val="nil"/>
              <w:right w:val="double" w:sz="4"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7,2</w:t>
            </w:r>
          </w:p>
        </w:tc>
      </w:tr>
      <w:tr w:rsidR="008E0628" w:rsidRPr="008E0628" w:rsidTr="00111BCB">
        <w:trPr>
          <w:jc w:val="center"/>
        </w:trPr>
        <w:tc>
          <w:tcPr>
            <w:tcW w:w="646" w:type="dxa"/>
            <w:tcBorders>
              <w:top w:val="nil"/>
              <w:left w:val="double" w:sz="4"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rPr>
                <w:rFonts w:cs="Calibri"/>
                <w:sz w:val="20"/>
                <w:szCs w:val="20"/>
                <w:lang w:val="en-US"/>
              </w:rPr>
            </w:pPr>
            <w:r w:rsidRPr="008E0628">
              <w:rPr>
                <w:rFonts w:cs="Calibri"/>
                <w:sz w:val="20"/>
                <w:szCs w:val="20"/>
                <w:lang w:val="en-US"/>
              </w:rPr>
              <w:t>1990</w:t>
            </w:r>
          </w:p>
        </w:tc>
        <w:tc>
          <w:tcPr>
            <w:tcW w:w="1179" w:type="dxa"/>
            <w:tcBorders>
              <w:top w:val="nil"/>
              <w:left w:val="single" w:sz="6"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237.261</w:t>
            </w:r>
          </w:p>
        </w:tc>
        <w:tc>
          <w:tcPr>
            <w:tcW w:w="992"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87.730</w:t>
            </w:r>
          </w:p>
        </w:tc>
        <w:tc>
          <w:tcPr>
            <w:tcW w:w="567"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36,9</w:t>
            </w:r>
          </w:p>
        </w:tc>
        <w:tc>
          <w:tcPr>
            <w:tcW w:w="915"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99.737</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42,0</w:t>
            </w:r>
          </w:p>
        </w:tc>
        <w:tc>
          <w:tcPr>
            <w:tcW w:w="900"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41.387</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17,4</w:t>
            </w:r>
          </w:p>
        </w:tc>
        <w:tc>
          <w:tcPr>
            <w:tcW w:w="918"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8.407</w:t>
            </w:r>
          </w:p>
        </w:tc>
        <w:tc>
          <w:tcPr>
            <w:tcW w:w="594" w:type="dxa"/>
            <w:tcBorders>
              <w:top w:val="nil"/>
              <w:left w:val="nil"/>
              <w:bottom w:val="nil"/>
              <w:right w:val="double" w:sz="4"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3,5</w:t>
            </w:r>
          </w:p>
        </w:tc>
      </w:tr>
      <w:tr w:rsidR="008E0628" w:rsidRPr="008E0628" w:rsidTr="00111BCB">
        <w:trPr>
          <w:jc w:val="center"/>
        </w:trPr>
        <w:tc>
          <w:tcPr>
            <w:tcW w:w="646" w:type="dxa"/>
            <w:tcBorders>
              <w:top w:val="nil"/>
              <w:left w:val="double" w:sz="4"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rPr>
                <w:rFonts w:cs="Calibri"/>
                <w:sz w:val="20"/>
                <w:szCs w:val="20"/>
                <w:lang w:val="en-US"/>
              </w:rPr>
            </w:pPr>
            <w:r w:rsidRPr="008E0628">
              <w:rPr>
                <w:rFonts w:cs="Calibri"/>
                <w:sz w:val="20"/>
                <w:szCs w:val="20"/>
                <w:lang w:val="en-US"/>
              </w:rPr>
              <w:t>1995</w:t>
            </w:r>
          </w:p>
        </w:tc>
        <w:tc>
          <w:tcPr>
            <w:tcW w:w="1179" w:type="dxa"/>
            <w:tcBorders>
              <w:top w:val="nil"/>
              <w:left w:val="single" w:sz="6"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204.586</w:t>
            </w:r>
          </w:p>
        </w:tc>
        <w:tc>
          <w:tcPr>
            <w:tcW w:w="992"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77.348</w:t>
            </w:r>
          </w:p>
        </w:tc>
        <w:tc>
          <w:tcPr>
            <w:tcW w:w="567"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37,8</w:t>
            </w:r>
          </w:p>
        </w:tc>
        <w:tc>
          <w:tcPr>
            <w:tcW w:w="915"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71.112</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34,7</w:t>
            </w:r>
          </w:p>
        </w:tc>
        <w:tc>
          <w:tcPr>
            <w:tcW w:w="900"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49.495</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24,2</w:t>
            </w:r>
          </w:p>
        </w:tc>
        <w:tc>
          <w:tcPr>
            <w:tcW w:w="918"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6.631</w:t>
            </w:r>
          </w:p>
        </w:tc>
        <w:tc>
          <w:tcPr>
            <w:tcW w:w="594" w:type="dxa"/>
            <w:tcBorders>
              <w:top w:val="nil"/>
              <w:left w:val="nil"/>
              <w:bottom w:val="nil"/>
              <w:right w:val="double" w:sz="4"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3,2</w:t>
            </w:r>
          </w:p>
        </w:tc>
      </w:tr>
      <w:tr w:rsidR="008E0628" w:rsidRPr="008E0628" w:rsidTr="00111BCB">
        <w:trPr>
          <w:jc w:val="center"/>
        </w:trPr>
        <w:tc>
          <w:tcPr>
            <w:tcW w:w="646" w:type="dxa"/>
            <w:tcBorders>
              <w:top w:val="nil"/>
              <w:left w:val="double" w:sz="4"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rPr>
                <w:rFonts w:cs="Calibri"/>
                <w:sz w:val="20"/>
                <w:szCs w:val="20"/>
                <w:lang w:val="en-US"/>
              </w:rPr>
            </w:pPr>
            <w:r w:rsidRPr="008E0628">
              <w:rPr>
                <w:rFonts w:cs="Calibri"/>
                <w:sz w:val="20"/>
                <w:szCs w:val="20"/>
                <w:lang w:val="en-US"/>
              </w:rPr>
              <w:t>1999</w:t>
            </w:r>
          </w:p>
        </w:tc>
        <w:tc>
          <w:tcPr>
            <w:tcW w:w="1179" w:type="dxa"/>
            <w:tcBorders>
              <w:top w:val="nil"/>
              <w:left w:val="single" w:sz="6"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260.285</w:t>
            </w:r>
          </w:p>
        </w:tc>
        <w:tc>
          <w:tcPr>
            <w:tcW w:w="992"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98.440</w:t>
            </w:r>
          </w:p>
        </w:tc>
        <w:tc>
          <w:tcPr>
            <w:tcW w:w="567"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37,8</w:t>
            </w:r>
          </w:p>
        </w:tc>
        <w:tc>
          <w:tcPr>
            <w:tcW w:w="915"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96.770</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37,2</w:t>
            </w:r>
          </w:p>
        </w:tc>
        <w:tc>
          <w:tcPr>
            <w:tcW w:w="900"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57.006</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21,9</w:t>
            </w:r>
          </w:p>
        </w:tc>
        <w:tc>
          <w:tcPr>
            <w:tcW w:w="918"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8.969</w:t>
            </w:r>
          </w:p>
        </w:tc>
        <w:tc>
          <w:tcPr>
            <w:tcW w:w="594" w:type="dxa"/>
            <w:tcBorders>
              <w:top w:val="nil"/>
              <w:left w:val="nil"/>
              <w:bottom w:val="nil"/>
              <w:right w:val="double" w:sz="4"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3,1</w:t>
            </w:r>
          </w:p>
        </w:tc>
      </w:tr>
      <w:tr w:rsidR="008E0628" w:rsidRPr="008E0628" w:rsidTr="00111BCB">
        <w:trPr>
          <w:jc w:val="center"/>
        </w:trPr>
        <w:tc>
          <w:tcPr>
            <w:tcW w:w="646" w:type="dxa"/>
            <w:tcBorders>
              <w:top w:val="nil"/>
              <w:left w:val="double" w:sz="4"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rPr>
                <w:rFonts w:cs="Calibri"/>
                <w:sz w:val="20"/>
                <w:szCs w:val="20"/>
                <w:lang w:val="en-US"/>
              </w:rPr>
            </w:pPr>
            <w:r w:rsidRPr="008E0628">
              <w:rPr>
                <w:rFonts w:cs="Calibri"/>
                <w:sz w:val="20"/>
                <w:szCs w:val="20"/>
                <w:lang w:val="en-US"/>
              </w:rPr>
              <w:t>2003</w:t>
            </w:r>
          </w:p>
        </w:tc>
        <w:tc>
          <w:tcPr>
            <w:tcW w:w="1179" w:type="dxa"/>
            <w:tcBorders>
              <w:top w:val="nil"/>
              <w:left w:val="single" w:sz="6"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283.075</w:t>
            </w:r>
          </w:p>
        </w:tc>
        <w:tc>
          <w:tcPr>
            <w:tcW w:w="992"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110.208</w:t>
            </w:r>
          </w:p>
        </w:tc>
        <w:tc>
          <w:tcPr>
            <w:tcW w:w="567"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38,9</w:t>
            </w:r>
          </w:p>
        </w:tc>
        <w:tc>
          <w:tcPr>
            <w:tcW w:w="915"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103.805</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36,7</w:t>
            </w:r>
          </w:p>
        </w:tc>
        <w:tc>
          <w:tcPr>
            <w:tcW w:w="900"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69.062</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24,4</w:t>
            </w:r>
          </w:p>
        </w:tc>
        <w:tc>
          <w:tcPr>
            <w:tcW w:w="918"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w:t>
            </w:r>
          </w:p>
        </w:tc>
        <w:tc>
          <w:tcPr>
            <w:tcW w:w="594" w:type="dxa"/>
            <w:tcBorders>
              <w:top w:val="nil"/>
              <w:left w:val="nil"/>
              <w:bottom w:val="nil"/>
              <w:right w:val="double" w:sz="4"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w:t>
            </w:r>
          </w:p>
        </w:tc>
      </w:tr>
      <w:tr w:rsidR="008E0628" w:rsidRPr="008E0628" w:rsidTr="00111BCB">
        <w:trPr>
          <w:jc w:val="center"/>
        </w:trPr>
        <w:tc>
          <w:tcPr>
            <w:tcW w:w="646" w:type="dxa"/>
            <w:tcBorders>
              <w:top w:val="nil"/>
              <w:left w:val="double" w:sz="4"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rPr>
                <w:rFonts w:cs="Calibri"/>
                <w:sz w:val="20"/>
                <w:szCs w:val="20"/>
                <w:lang w:val="en-US"/>
              </w:rPr>
            </w:pPr>
            <w:r w:rsidRPr="008E0628">
              <w:rPr>
                <w:rFonts w:cs="Calibri"/>
                <w:sz w:val="20"/>
                <w:szCs w:val="20"/>
                <w:lang w:val="en-US"/>
              </w:rPr>
              <w:t>2007</w:t>
            </w:r>
          </w:p>
        </w:tc>
        <w:tc>
          <w:tcPr>
            <w:tcW w:w="1179" w:type="dxa"/>
            <w:tcBorders>
              <w:top w:val="nil"/>
              <w:left w:val="single" w:sz="6"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312.017</w:t>
            </w:r>
          </w:p>
        </w:tc>
        <w:tc>
          <w:tcPr>
            <w:tcW w:w="992"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122.079</w:t>
            </w:r>
          </w:p>
        </w:tc>
        <w:tc>
          <w:tcPr>
            <w:tcW w:w="567"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39,1</w:t>
            </w:r>
          </w:p>
        </w:tc>
        <w:tc>
          <w:tcPr>
            <w:tcW w:w="915"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114.973</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36,8</w:t>
            </w:r>
          </w:p>
        </w:tc>
        <w:tc>
          <w:tcPr>
            <w:tcW w:w="900"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74.965</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24,0</w:t>
            </w:r>
          </w:p>
        </w:tc>
        <w:tc>
          <w:tcPr>
            <w:tcW w:w="918"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w:t>
            </w:r>
          </w:p>
        </w:tc>
        <w:tc>
          <w:tcPr>
            <w:tcW w:w="594" w:type="dxa"/>
            <w:tcBorders>
              <w:top w:val="nil"/>
              <w:left w:val="nil"/>
              <w:bottom w:val="nil"/>
              <w:right w:val="double" w:sz="4"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w:t>
            </w:r>
          </w:p>
        </w:tc>
      </w:tr>
      <w:tr w:rsidR="008E0628" w:rsidRPr="008E0628" w:rsidTr="00111BCB">
        <w:trPr>
          <w:jc w:val="center"/>
        </w:trPr>
        <w:tc>
          <w:tcPr>
            <w:tcW w:w="646" w:type="dxa"/>
            <w:tcBorders>
              <w:top w:val="nil"/>
              <w:left w:val="double" w:sz="4"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rPr>
                <w:rFonts w:cs="Calibri"/>
                <w:sz w:val="20"/>
                <w:szCs w:val="20"/>
                <w:lang w:val="en-US"/>
              </w:rPr>
            </w:pPr>
            <w:r w:rsidRPr="008E0628">
              <w:rPr>
                <w:rFonts w:cs="Calibri"/>
                <w:sz w:val="20"/>
                <w:szCs w:val="20"/>
                <w:lang w:val="en-US"/>
              </w:rPr>
              <w:t>2011</w:t>
            </w:r>
          </w:p>
        </w:tc>
        <w:tc>
          <w:tcPr>
            <w:tcW w:w="1179" w:type="dxa"/>
            <w:tcBorders>
              <w:top w:val="nil"/>
              <w:left w:val="single" w:sz="6" w:space="0" w:color="auto"/>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309.817</w:t>
            </w:r>
          </w:p>
        </w:tc>
        <w:tc>
          <w:tcPr>
            <w:tcW w:w="992"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117.172</w:t>
            </w:r>
          </w:p>
        </w:tc>
        <w:tc>
          <w:tcPr>
            <w:tcW w:w="567"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37,8</w:t>
            </w:r>
          </w:p>
        </w:tc>
        <w:tc>
          <w:tcPr>
            <w:tcW w:w="915"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110.755</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35,7</w:t>
            </w:r>
          </w:p>
        </w:tc>
        <w:tc>
          <w:tcPr>
            <w:tcW w:w="900"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81.890</w:t>
            </w:r>
          </w:p>
        </w:tc>
        <w:tc>
          <w:tcPr>
            <w:tcW w:w="594" w:type="dxa"/>
            <w:tcBorders>
              <w:top w:val="nil"/>
              <w:left w:val="nil"/>
              <w:bottom w:val="nil"/>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26,4</w:t>
            </w:r>
          </w:p>
        </w:tc>
        <w:tc>
          <w:tcPr>
            <w:tcW w:w="918" w:type="dxa"/>
            <w:tcBorders>
              <w:top w:val="nil"/>
              <w:left w:val="single" w:sz="6" w:space="0" w:color="auto"/>
              <w:bottom w:val="nil"/>
              <w:right w:val="nil"/>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w:t>
            </w:r>
          </w:p>
        </w:tc>
        <w:tc>
          <w:tcPr>
            <w:tcW w:w="594" w:type="dxa"/>
            <w:tcBorders>
              <w:top w:val="nil"/>
              <w:left w:val="nil"/>
              <w:bottom w:val="nil"/>
              <w:right w:val="double" w:sz="4"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sz w:val="20"/>
                <w:szCs w:val="20"/>
                <w:lang w:val="en-US"/>
              </w:rPr>
              <w:t>*</w:t>
            </w:r>
          </w:p>
        </w:tc>
      </w:tr>
      <w:tr w:rsidR="008E0628" w:rsidRPr="008E0628" w:rsidTr="00111BCB">
        <w:trPr>
          <w:trHeight w:val="201"/>
          <w:jc w:val="center"/>
        </w:trPr>
        <w:tc>
          <w:tcPr>
            <w:tcW w:w="646" w:type="dxa"/>
            <w:tcBorders>
              <w:top w:val="nil"/>
              <w:left w:val="double" w:sz="4" w:space="0" w:color="auto"/>
              <w:bottom w:val="double" w:sz="4" w:space="0" w:color="auto"/>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rPr>
                <w:rFonts w:cs="Calibri"/>
                <w:sz w:val="20"/>
                <w:szCs w:val="20"/>
                <w:lang w:val="en-US"/>
              </w:rPr>
            </w:pPr>
            <w:r w:rsidRPr="008E0628">
              <w:rPr>
                <w:rFonts w:cs="Calibri"/>
                <w:sz w:val="20"/>
                <w:szCs w:val="20"/>
                <w:lang w:val="en-US"/>
              </w:rPr>
              <w:t>2012</w:t>
            </w:r>
          </w:p>
        </w:tc>
        <w:tc>
          <w:tcPr>
            <w:tcW w:w="1179" w:type="dxa"/>
            <w:tcBorders>
              <w:top w:val="nil"/>
              <w:left w:val="single" w:sz="6" w:space="0" w:color="auto"/>
              <w:bottom w:val="double" w:sz="4" w:space="0" w:color="auto"/>
              <w:right w:val="single" w:sz="6" w:space="0" w:color="auto"/>
            </w:tcBorders>
            <w:vAlign w:val="center"/>
          </w:tcPr>
          <w:p w:rsidR="008E0628" w:rsidRPr="008E0628" w:rsidRDefault="008E0628" w:rsidP="008E0628">
            <w:pPr>
              <w:keepNext/>
              <w:keepLines/>
              <w:widowControl w:val="0"/>
              <w:autoSpaceDE w:val="0"/>
              <w:autoSpaceDN w:val="0"/>
              <w:adjustRightInd w:val="0"/>
              <w:spacing w:after="0" w:line="240" w:lineRule="auto"/>
              <w:jc w:val="right"/>
              <w:rPr>
                <w:rFonts w:cs="Calibri"/>
                <w:sz w:val="20"/>
                <w:szCs w:val="20"/>
                <w:lang w:val="en-US"/>
              </w:rPr>
            </w:pPr>
            <w:r w:rsidRPr="008E0628">
              <w:rPr>
                <w:rFonts w:cs="Calibri"/>
                <w:color w:val="000000"/>
                <w:sz w:val="20"/>
                <w:szCs w:val="20"/>
                <w:lang w:val="en-US"/>
              </w:rPr>
              <w:t>303.622</w:t>
            </w:r>
          </w:p>
        </w:tc>
        <w:tc>
          <w:tcPr>
            <w:tcW w:w="992" w:type="dxa"/>
            <w:tcBorders>
              <w:top w:val="nil"/>
              <w:left w:val="single" w:sz="6" w:space="0" w:color="auto"/>
              <w:bottom w:val="double" w:sz="4" w:space="0" w:color="auto"/>
              <w:right w:val="nil"/>
            </w:tcBorders>
            <w:vAlign w:val="center"/>
          </w:tcPr>
          <w:p w:rsidR="008E0628" w:rsidRPr="008E0628" w:rsidRDefault="008E0628" w:rsidP="008E0628">
            <w:pPr>
              <w:keepNext/>
              <w:keepLines/>
              <w:spacing w:after="0" w:line="240" w:lineRule="auto"/>
              <w:jc w:val="right"/>
              <w:rPr>
                <w:rFonts w:cs="Calibri"/>
                <w:color w:val="000000"/>
                <w:sz w:val="20"/>
                <w:szCs w:val="20"/>
                <w:lang w:val="en-US"/>
              </w:rPr>
            </w:pPr>
            <w:r w:rsidRPr="008E0628">
              <w:rPr>
                <w:rFonts w:cs="Calibri"/>
                <w:color w:val="000000"/>
                <w:sz w:val="20"/>
                <w:szCs w:val="20"/>
                <w:lang w:val="en-US"/>
              </w:rPr>
              <w:t>113.721</w:t>
            </w:r>
          </w:p>
        </w:tc>
        <w:tc>
          <w:tcPr>
            <w:tcW w:w="567" w:type="dxa"/>
            <w:tcBorders>
              <w:top w:val="nil"/>
              <w:left w:val="nil"/>
              <w:bottom w:val="double" w:sz="4" w:space="0" w:color="auto"/>
              <w:right w:val="single" w:sz="6" w:space="0" w:color="auto"/>
            </w:tcBorders>
            <w:vAlign w:val="center"/>
          </w:tcPr>
          <w:p w:rsidR="008E0628" w:rsidRPr="008E0628" w:rsidRDefault="008E0628" w:rsidP="008E0628">
            <w:pPr>
              <w:keepNext/>
              <w:keepLines/>
              <w:spacing w:after="0" w:line="240" w:lineRule="auto"/>
              <w:jc w:val="right"/>
              <w:rPr>
                <w:rFonts w:cs="Calibri"/>
                <w:sz w:val="20"/>
                <w:szCs w:val="20"/>
                <w:lang w:val="en-US"/>
              </w:rPr>
            </w:pPr>
            <w:r w:rsidRPr="008E0628">
              <w:rPr>
                <w:rFonts w:cs="Calibri"/>
                <w:sz w:val="20"/>
                <w:szCs w:val="20"/>
                <w:lang w:val="en-US"/>
              </w:rPr>
              <w:t>37,5</w:t>
            </w:r>
          </w:p>
        </w:tc>
        <w:tc>
          <w:tcPr>
            <w:tcW w:w="915" w:type="dxa"/>
            <w:tcBorders>
              <w:top w:val="nil"/>
              <w:left w:val="single" w:sz="6" w:space="0" w:color="auto"/>
              <w:bottom w:val="double" w:sz="4" w:space="0" w:color="auto"/>
              <w:right w:val="nil"/>
            </w:tcBorders>
            <w:vAlign w:val="center"/>
          </w:tcPr>
          <w:p w:rsidR="008E0628" w:rsidRPr="008E0628" w:rsidRDefault="008E0628" w:rsidP="008E0628">
            <w:pPr>
              <w:keepNext/>
              <w:keepLines/>
              <w:spacing w:after="0" w:line="240" w:lineRule="auto"/>
              <w:jc w:val="right"/>
              <w:rPr>
                <w:rFonts w:cs="Calibri"/>
                <w:color w:val="000000"/>
                <w:sz w:val="20"/>
                <w:szCs w:val="20"/>
                <w:lang w:val="en-US"/>
              </w:rPr>
            </w:pPr>
            <w:r w:rsidRPr="008E0628">
              <w:rPr>
                <w:rFonts w:cs="Calibri"/>
                <w:color w:val="000000"/>
                <w:sz w:val="20"/>
                <w:szCs w:val="20"/>
                <w:lang w:val="en-US"/>
              </w:rPr>
              <w:t>107.459</w:t>
            </w:r>
          </w:p>
        </w:tc>
        <w:tc>
          <w:tcPr>
            <w:tcW w:w="594" w:type="dxa"/>
            <w:tcBorders>
              <w:top w:val="nil"/>
              <w:left w:val="nil"/>
              <w:bottom w:val="double" w:sz="4" w:space="0" w:color="auto"/>
              <w:right w:val="single" w:sz="6" w:space="0" w:color="auto"/>
            </w:tcBorders>
            <w:vAlign w:val="center"/>
          </w:tcPr>
          <w:p w:rsidR="008E0628" w:rsidRPr="008E0628" w:rsidRDefault="008E0628" w:rsidP="008E0628">
            <w:pPr>
              <w:keepNext/>
              <w:keepLines/>
              <w:spacing w:after="0" w:line="240" w:lineRule="auto"/>
              <w:jc w:val="right"/>
              <w:rPr>
                <w:rFonts w:cs="Calibri"/>
                <w:sz w:val="20"/>
                <w:szCs w:val="20"/>
                <w:lang w:val="en-US"/>
              </w:rPr>
            </w:pPr>
            <w:r w:rsidRPr="008E0628">
              <w:rPr>
                <w:rFonts w:cs="Calibri"/>
                <w:sz w:val="20"/>
                <w:szCs w:val="20"/>
                <w:lang w:val="en-US"/>
              </w:rPr>
              <w:t>35,4</w:t>
            </w:r>
          </w:p>
        </w:tc>
        <w:tc>
          <w:tcPr>
            <w:tcW w:w="900" w:type="dxa"/>
            <w:tcBorders>
              <w:top w:val="nil"/>
              <w:left w:val="single" w:sz="6" w:space="0" w:color="auto"/>
              <w:bottom w:val="double" w:sz="4" w:space="0" w:color="auto"/>
              <w:right w:val="nil"/>
            </w:tcBorders>
            <w:vAlign w:val="center"/>
          </w:tcPr>
          <w:p w:rsidR="008E0628" w:rsidRPr="008E0628" w:rsidRDefault="008E0628" w:rsidP="008E0628">
            <w:pPr>
              <w:keepNext/>
              <w:keepLines/>
              <w:spacing w:after="0" w:line="240" w:lineRule="auto"/>
              <w:jc w:val="right"/>
              <w:rPr>
                <w:rFonts w:cs="Calibri"/>
                <w:sz w:val="20"/>
                <w:szCs w:val="20"/>
                <w:lang w:val="en-US"/>
              </w:rPr>
            </w:pPr>
            <w:r w:rsidRPr="008E0628">
              <w:rPr>
                <w:rFonts w:cs="Calibri"/>
                <w:sz w:val="20"/>
                <w:szCs w:val="20"/>
                <w:lang w:val="en-US"/>
              </w:rPr>
              <w:t>75.788</w:t>
            </w:r>
          </w:p>
        </w:tc>
        <w:tc>
          <w:tcPr>
            <w:tcW w:w="594" w:type="dxa"/>
            <w:tcBorders>
              <w:top w:val="nil"/>
              <w:left w:val="nil"/>
              <w:bottom w:val="double" w:sz="4" w:space="0" w:color="auto"/>
              <w:right w:val="single" w:sz="6" w:space="0" w:color="auto"/>
            </w:tcBorders>
            <w:vAlign w:val="center"/>
          </w:tcPr>
          <w:p w:rsidR="008E0628" w:rsidRPr="008E0628" w:rsidRDefault="008E0628" w:rsidP="008E0628">
            <w:pPr>
              <w:keepNext/>
              <w:keepLines/>
              <w:spacing w:after="0" w:line="240" w:lineRule="auto"/>
              <w:jc w:val="right"/>
              <w:rPr>
                <w:rFonts w:cs="Calibri"/>
                <w:sz w:val="20"/>
                <w:szCs w:val="20"/>
                <w:lang w:val="en-US"/>
              </w:rPr>
            </w:pPr>
            <w:r w:rsidRPr="008E0628">
              <w:rPr>
                <w:rFonts w:cs="Calibri"/>
                <w:sz w:val="20"/>
                <w:szCs w:val="20"/>
                <w:lang w:val="en-US"/>
              </w:rPr>
              <w:t>24,9</w:t>
            </w:r>
          </w:p>
        </w:tc>
        <w:tc>
          <w:tcPr>
            <w:tcW w:w="918" w:type="dxa"/>
            <w:tcBorders>
              <w:top w:val="nil"/>
              <w:left w:val="single" w:sz="6" w:space="0" w:color="auto"/>
              <w:bottom w:val="double" w:sz="4" w:space="0" w:color="auto"/>
              <w:right w:val="nil"/>
            </w:tcBorders>
            <w:vAlign w:val="center"/>
          </w:tcPr>
          <w:p w:rsidR="008E0628" w:rsidRPr="008E0628" w:rsidRDefault="008E0628" w:rsidP="008E0628">
            <w:pPr>
              <w:keepNext/>
              <w:keepLines/>
              <w:spacing w:after="0" w:line="240" w:lineRule="auto"/>
              <w:jc w:val="right"/>
              <w:rPr>
                <w:rFonts w:cs="Calibri"/>
                <w:color w:val="000000"/>
                <w:sz w:val="20"/>
                <w:szCs w:val="20"/>
                <w:lang w:val="en-US"/>
              </w:rPr>
            </w:pPr>
            <w:r w:rsidRPr="008E0628">
              <w:rPr>
                <w:rFonts w:cs="Calibri"/>
                <w:color w:val="000000"/>
                <w:sz w:val="20"/>
                <w:szCs w:val="20"/>
                <w:lang w:val="en-US"/>
              </w:rPr>
              <w:t>6.654</w:t>
            </w:r>
          </w:p>
        </w:tc>
        <w:tc>
          <w:tcPr>
            <w:tcW w:w="594" w:type="dxa"/>
            <w:tcBorders>
              <w:top w:val="nil"/>
              <w:left w:val="nil"/>
              <w:bottom w:val="double" w:sz="4" w:space="0" w:color="auto"/>
              <w:right w:val="double" w:sz="4" w:space="0" w:color="auto"/>
            </w:tcBorders>
            <w:vAlign w:val="center"/>
          </w:tcPr>
          <w:p w:rsidR="008E0628" w:rsidRPr="008E0628" w:rsidRDefault="008E0628" w:rsidP="008E0628">
            <w:pPr>
              <w:keepNext/>
              <w:keepLines/>
              <w:spacing w:after="0" w:line="240" w:lineRule="auto"/>
              <w:jc w:val="right"/>
              <w:rPr>
                <w:rFonts w:cs="Calibri"/>
                <w:sz w:val="20"/>
                <w:szCs w:val="20"/>
                <w:lang w:val="en-US"/>
              </w:rPr>
            </w:pPr>
            <w:r w:rsidRPr="008E0628">
              <w:rPr>
                <w:rFonts w:cs="Calibri"/>
                <w:sz w:val="20"/>
                <w:szCs w:val="20"/>
                <w:lang w:val="en-US"/>
              </w:rPr>
              <w:t>2,2</w:t>
            </w:r>
          </w:p>
        </w:tc>
      </w:tr>
    </w:tbl>
    <w:p w:rsidR="008E0628" w:rsidRPr="008E0628" w:rsidRDefault="008E0628" w:rsidP="008E0628">
      <w:pPr>
        <w:keepNext/>
        <w:keepLines/>
        <w:widowControl w:val="0"/>
        <w:autoSpaceDE w:val="0"/>
        <w:autoSpaceDN w:val="0"/>
        <w:adjustRightInd w:val="0"/>
        <w:spacing w:after="0" w:line="240" w:lineRule="auto"/>
        <w:jc w:val="center"/>
        <w:rPr>
          <w:rFonts w:cs="Calibri"/>
          <w:sz w:val="20"/>
          <w:szCs w:val="20"/>
        </w:rPr>
      </w:pPr>
      <w:r w:rsidRPr="008E0628">
        <w:rPr>
          <w:rFonts w:cs="Calibri"/>
          <w:sz w:val="20"/>
          <w:szCs w:val="20"/>
        </w:rPr>
        <w:t xml:space="preserve">Fuente: con datos del Ministerios de Trabajo y AAPP para los datos de </w:t>
      </w:r>
      <w:smartTag w:uri="urn:schemas-microsoft-com:office:smarttags" w:element="metricconverter">
        <w:smartTagPr>
          <w:attr w:name="ProductID" w:val="1978 a"/>
        </w:smartTagPr>
        <w:r w:rsidRPr="008E0628">
          <w:rPr>
            <w:rFonts w:cs="Calibri"/>
            <w:sz w:val="20"/>
            <w:szCs w:val="20"/>
          </w:rPr>
          <w:t>1978 a</w:t>
        </w:r>
      </w:smartTag>
      <w:r w:rsidRPr="008E0628">
        <w:rPr>
          <w:rFonts w:cs="Calibri"/>
          <w:sz w:val="20"/>
          <w:szCs w:val="20"/>
        </w:rPr>
        <w:t xml:space="preserve"> 1990, SIGIS-CCOO, para las convocatorias de </w:t>
      </w:r>
      <w:smartTag w:uri="urn:schemas-microsoft-com:office:smarttags" w:element="metricconverter">
        <w:smartTagPr>
          <w:attr w:name="ProductID" w:val="1995 a"/>
        </w:smartTagPr>
        <w:r w:rsidRPr="008E0628">
          <w:rPr>
            <w:rFonts w:cs="Calibri"/>
            <w:sz w:val="20"/>
            <w:szCs w:val="20"/>
          </w:rPr>
          <w:t>1995 a</w:t>
        </w:r>
      </w:smartTag>
      <w:r w:rsidRPr="008E0628">
        <w:rPr>
          <w:rFonts w:cs="Calibri"/>
          <w:sz w:val="20"/>
          <w:szCs w:val="20"/>
        </w:rPr>
        <w:t xml:space="preserve"> 2011 y Ministerio de Empleo para 2012.</w:t>
      </w:r>
    </w:p>
    <w:p w:rsidR="008E0628" w:rsidRDefault="008E0628" w:rsidP="008E0628">
      <w:pPr>
        <w:keepNext/>
        <w:keepLines/>
        <w:widowControl w:val="0"/>
        <w:autoSpaceDE w:val="0"/>
        <w:autoSpaceDN w:val="0"/>
        <w:adjustRightInd w:val="0"/>
        <w:spacing w:after="0" w:line="240" w:lineRule="auto"/>
        <w:jc w:val="center"/>
        <w:rPr>
          <w:rFonts w:ascii="Verdana" w:hAnsi="Verdana" w:cs="Calibri"/>
          <w:sz w:val="20"/>
          <w:szCs w:val="20"/>
        </w:rPr>
      </w:pPr>
      <w:r w:rsidRPr="008E0628">
        <w:rPr>
          <w:rFonts w:cs="Calibri"/>
          <w:sz w:val="20"/>
          <w:szCs w:val="20"/>
        </w:rPr>
        <w:t>(*) Se acumulan los datos de “otros” y “no afiliados</w:t>
      </w:r>
      <w:r w:rsidRPr="008E0628">
        <w:rPr>
          <w:rFonts w:ascii="Verdana" w:hAnsi="Verdana" w:cs="Calibri"/>
          <w:sz w:val="20"/>
          <w:szCs w:val="20"/>
        </w:rPr>
        <w:t>”</w:t>
      </w:r>
    </w:p>
    <w:p w:rsidR="008E0628" w:rsidRPr="008E0628" w:rsidRDefault="008E0628" w:rsidP="008E0628">
      <w:pPr>
        <w:keepNext/>
        <w:keepLines/>
        <w:widowControl w:val="0"/>
        <w:autoSpaceDE w:val="0"/>
        <w:autoSpaceDN w:val="0"/>
        <w:adjustRightInd w:val="0"/>
        <w:spacing w:after="0" w:line="240" w:lineRule="auto"/>
        <w:jc w:val="center"/>
        <w:rPr>
          <w:rFonts w:ascii="Verdana" w:hAnsi="Verdana" w:cs="Calibri"/>
          <w:sz w:val="20"/>
          <w:szCs w:val="20"/>
        </w:rPr>
      </w:pPr>
    </w:p>
    <w:p w:rsidR="008E0628" w:rsidRPr="008E0628" w:rsidRDefault="008E0628" w:rsidP="008E0628">
      <w:pPr>
        <w:widowControl w:val="0"/>
        <w:autoSpaceDE w:val="0"/>
        <w:autoSpaceDN w:val="0"/>
        <w:adjustRightInd w:val="0"/>
        <w:spacing w:after="0" w:line="240" w:lineRule="auto"/>
        <w:jc w:val="both"/>
        <w:rPr>
          <w:rFonts w:ascii="Verdana" w:hAnsi="Verdana" w:cs="Calibri"/>
        </w:rPr>
      </w:pPr>
    </w:p>
    <w:p w:rsidR="008E0628" w:rsidRPr="008E0628" w:rsidRDefault="008E0628" w:rsidP="008E0628">
      <w:pPr>
        <w:keepNext/>
        <w:keepLines/>
        <w:widowControl w:val="0"/>
        <w:autoSpaceDE w:val="0"/>
        <w:autoSpaceDN w:val="0"/>
        <w:adjustRightInd w:val="0"/>
        <w:spacing w:after="0" w:line="240" w:lineRule="auto"/>
        <w:jc w:val="center"/>
        <w:rPr>
          <w:rFonts w:ascii="Verdana" w:hAnsi="Verdana" w:cs="Calibri"/>
        </w:rPr>
      </w:pPr>
      <w:r w:rsidRPr="008E0628">
        <w:rPr>
          <w:rFonts w:ascii="Verdana" w:hAnsi="Verdana" w:cs="Calibri"/>
        </w:rPr>
        <w:t xml:space="preserve">Gráfico </w:t>
      </w:r>
      <w:r>
        <w:rPr>
          <w:rFonts w:ascii="Verdana" w:hAnsi="Verdana" w:cs="Calibri"/>
        </w:rPr>
        <w:t>3</w:t>
      </w:r>
      <w:r w:rsidRPr="008E0628">
        <w:rPr>
          <w:rFonts w:ascii="Verdana" w:hAnsi="Verdana" w:cs="Calibri"/>
        </w:rPr>
        <w:t>.1. Número total de delegados a lo largo de las distintas convocatorias electorales</w:t>
      </w:r>
    </w:p>
    <w:p w:rsidR="008E0628" w:rsidRPr="008E0628" w:rsidRDefault="008E0628" w:rsidP="008E0628">
      <w:pPr>
        <w:keepNext/>
        <w:keepLines/>
        <w:widowControl w:val="0"/>
        <w:autoSpaceDE w:val="0"/>
        <w:autoSpaceDN w:val="0"/>
        <w:adjustRightInd w:val="0"/>
        <w:spacing w:after="0" w:line="240" w:lineRule="auto"/>
        <w:jc w:val="center"/>
        <w:rPr>
          <w:rFonts w:ascii="Verdana" w:hAnsi="Verdana" w:cs="Calibri"/>
          <w:sz w:val="20"/>
          <w:szCs w:val="20"/>
        </w:rPr>
      </w:pPr>
      <w:r w:rsidRPr="008E0628">
        <w:rPr>
          <w:rFonts w:ascii="Verdana" w:hAnsi="Verdana" w:cs="Calibri"/>
          <w:noProof/>
          <w:sz w:val="20"/>
          <w:szCs w:val="20"/>
          <w:lang w:eastAsia="es-ES"/>
        </w:rPr>
        <w:drawing>
          <wp:inline distT="0" distB="0" distL="0" distR="0" wp14:anchorId="625BC51F" wp14:editId="75A6193D">
            <wp:extent cx="5240020" cy="2277110"/>
            <wp:effectExtent l="1905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cstate="print"/>
                    <a:srcRect/>
                    <a:stretch>
                      <a:fillRect/>
                    </a:stretch>
                  </pic:blipFill>
                  <pic:spPr bwMode="auto">
                    <a:xfrm>
                      <a:off x="0" y="0"/>
                      <a:ext cx="5240020" cy="2277110"/>
                    </a:xfrm>
                    <a:prstGeom prst="rect">
                      <a:avLst/>
                    </a:prstGeom>
                    <a:noFill/>
                    <a:ln w="9525">
                      <a:noFill/>
                      <a:miter lim="800000"/>
                      <a:headEnd/>
                      <a:tailEnd/>
                    </a:ln>
                  </pic:spPr>
                </pic:pic>
              </a:graphicData>
            </a:graphic>
          </wp:inline>
        </w:drawing>
      </w:r>
    </w:p>
    <w:p w:rsidR="008E0628" w:rsidRPr="008E0628" w:rsidRDefault="008E0628" w:rsidP="008E0628">
      <w:pPr>
        <w:keepNext/>
        <w:keepLines/>
        <w:widowControl w:val="0"/>
        <w:autoSpaceDE w:val="0"/>
        <w:autoSpaceDN w:val="0"/>
        <w:adjustRightInd w:val="0"/>
        <w:spacing w:after="0" w:line="240" w:lineRule="auto"/>
        <w:jc w:val="center"/>
        <w:rPr>
          <w:rFonts w:ascii="Verdana" w:hAnsi="Verdana" w:cs="Calibri"/>
          <w:sz w:val="20"/>
          <w:szCs w:val="20"/>
        </w:rPr>
      </w:pPr>
      <w:r w:rsidRPr="008E0628">
        <w:rPr>
          <w:rFonts w:ascii="Verdana" w:hAnsi="Verdana" w:cs="Calibri"/>
          <w:sz w:val="20"/>
          <w:szCs w:val="20"/>
        </w:rPr>
        <w:t>Fuente: con base a tabla 2.1</w:t>
      </w:r>
    </w:p>
    <w:p w:rsidR="008E0628" w:rsidRPr="008E0628" w:rsidRDefault="008E0628" w:rsidP="008E0628">
      <w:pPr>
        <w:widowControl w:val="0"/>
        <w:autoSpaceDE w:val="0"/>
        <w:autoSpaceDN w:val="0"/>
        <w:adjustRightInd w:val="0"/>
        <w:spacing w:after="0" w:line="240" w:lineRule="auto"/>
        <w:jc w:val="both"/>
        <w:rPr>
          <w:rFonts w:ascii="Verdana" w:hAnsi="Verdana" w:cs="Calibri"/>
        </w:rPr>
      </w:pPr>
    </w:p>
    <w:p w:rsidR="008E0628" w:rsidRDefault="008E0628" w:rsidP="008E0628">
      <w:pPr>
        <w:widowControl w:val="0"/>
        <w:autoSpaceDE w:val="0"/>
        <w:autoSpaceDN w:val="0"/>
        <w:adjustRightInd w:val="0"/>
        <w:spacing w:after="0" w:line="240" w:lineRule="auto"/>
        <w:jc w:val="both"/>
        <w:rPr>
          <w:rFonts w:ascii="Verdana" w:hAnsi="Verdana" w:cs="Calibri"/>
        </w:rPr>
      </w:pPr>
    </w:p>
    <w:p w:rsidR="008E0628" w:rsidRPr="008E0628" w:rsidRDefault="008E0628" w:rsidP="008E0628">
      <w:pPr>
        <w:widowControl w:val="0"/>
        <w:autoSpaceDE w:val="0"/>
        <w:autoSpaceDN w:val="0"/>
        <w:adjustRightInd w:val="0"/>
        <w:spacing w:after="0" w:line="240" w:lineRule="auto"/>
        <w:jc w:val="both"/>
        <w:rPr>
          <w:rFonts w:ascii="Verdana" w:hAnsi="Verdana" w:cs="Calibri"/>
        </w:rPr>
      </w:pPr>
      <w:r w:rsidRPr="008E0628">
        <w:rPr>
          <w:rFonts w:ascii="Verdana" w:hAnsi="Verdana" w:cs="Calibri"/>
        </w:rPr>
        <w:t>La tabla y sobre todo el gráfico anteriores nos permiten, además de evaluar el crecimiento del número de delegados al ritmo del ciclo económico, trazar una aproximación a la competencia electoral entre las diferentes opciones sindicales. En primer lugar, entre CCOO y UGT que, como vemos, pasa por sucesivas fase de “</w:t>
      </w:r>
      <w:proofErr w:type="spellStart"/>
      <w:r w:rsidRPr="008E0628">
        <w:rPr>
          <w:rFonts w:ascii="Verdana" w:hAnsi="Verdana" w:cs="Calibri"/>
        </w:rPr>
        <w:t>sorpasso</w:t>
      </w:r>
      <w:proofErr w:type="spellEnd"/>
      <w:r w:rsidRPr="008E0628">
        <w:rPr>
          <w:rFonts w:ascii="Verdana" w:hAnsi="Verdana" w:cs="Calibri"/>
        </w:rPr>
        <w:t>” mutuo, hasta que a finales de los 90, aunque con ligera ventaja de CCOO, siguen líneas b</w:t>
      </w:r>
      <w:r>
        <w:rPr>
          <w:rFonts w:ascii="Verdana" w:hAnsi="Verdana" w:cs="Calibri"/>
        </w:rPr>
        <w:t>astante paralelas (ver gráfico 3</w:t>
      </w:r>
      <w:r w:rsidRPr="008E0628">
        <w:rPr>
          <w:rFonts w:ascii="Verdana" w:hAnsi="Verdana" w:cs="Calibri"/>
        </w:rPr>
        <w:t xml:space="preserve">.2). En segundo lugar, se observa la hegemonía del tándem CCOO-UGT respecto del resto de opciones; su punto máximo es 1990, consolidándose posteriormente en torno al 75% de la representación (ver gráfico </w:t>
      </w:r>
      <w:r>
        <w:rPr>
          <w:rFonts w:ascii="Verdana" w:hAnsi="Verdana" w:cs="Calibri"/>
        </w:rPr>
        <w:t>3</w:t>
      </w:r>
      <w:r w:rsidRPr="008E0628">
        <w:rPr>
          <w:rFonts w:ascii="Verdana" w:hAnsi="Verdana" w:cs="Calibri"/>
        </w:rPr>
        <w:t>.3).</w:t>
      </w:r>
    </w:p>
    <w:p w:rsidR="008E0628" w:rsidRPr="008E0628" w:rsidRDefault="008E0628" w:rsidP="008E0628">
      <w:pPr>
        <w:widowControl w:val="0"/>
        <w:autoSpaceDE w:val="0"/>
        <w:autoSpaceDN w:val="0"/>
        <w:adjustRightInd w:val="0"/>
        <w:spacing w:after="0" w:line="240" w:lineRule="auto"/>
        <w:jc w:val="both"/>
        <w:rPr>
          <w:rFonts w:ascii="Verdana" w:hAnsi="Verdana" w:cs="Calibri"/>
        </w:rPr>
      </w:pPr>
    </w:p>
    <w:p w:rsidR="008E0628" w:rsidRDefault="008E0628" w:rsidP="008E0628">
      <w:pPr>
        <w:keepNext/>
        <w:keepLines/>
        <w:widowControl w:val="0"/>
        <w:autoSpaceDE w:val="0"/>
        <w:autoSpaceDN w:val="0"/>
        <w:adjustRightInd w:val="0"/>
        <w:spacing w:after="0" w:line="240" w:lineRule="auto"/>
        <w:jc w:val="center"/>
        <w:rPr>
          <w:rFonts w:ascii="Verdana" w:hAnsi="Verdana" w:cs="Calibri"/>
        </w:rPr>
      </w:pPr>
      <w:r>
        <w:rPr>
          <w:rFonts w:ascii="Verdana" w:hAnsi="Verdana" w:cs="Calibri"/>
        </w:rPr>
        <w:lastRenderedPageBreak/>
        <w:t>Gráfico 3</w:t>
      </w:r>
      <w:r w:rsidRPr="008E0628">
        <w:rPr>
          <w:rFonts w:ascii="Verdana" w:hAnsi="Verdana" w:cs="Calibri"/>
        </w:rPr>
        <w:t>.2. Competencia electoral CCOO y UGT (en % de delegados)</w:t>
      </w:r>
    </w:p>
    <w:p w:rsidR="008E0628" w:rsidRPr="008E0628" w:rsidRDefault="008E0628" w:rsidP="008E0628">
      <w:pPr>
        <w:keepNext/>
        <w:keepLines/>
        <w:widowControl w:val="0"/>
        <w:autoSpaceDE w:val="0"/>
        <w:autoSpaceDN w:val="0"/>
        <w:adjustRightInd w:val="0"/>
        <w:spacing w:after="0" w:line="240" w:lineRule="auto"/>
        <w:jc w:val="center"/>
        <w:rPr>
          <w:rFonts w:ascii="Verdana" w:hAnsi="Verdana" w:cs="Calibri"/>
        </w:rPr>
      </w:pPr>
    </w:p>
    <w:p w:rsidR="008E0628" w:rsidRPr="008E0628" w:rsidRDefault="008E0628" w:rsidP="008E0628">
      <w:pPr>
        <w:keepNext/>
        <w:keepLines/>
        <w:widowControl w:val="0"/>
        <w:autoSpaceDE w:val="0"/>
        <w:autoSpaceDN w:val="0"/>
        <w:adjustRightInd w:val="0"/>
        <w:spacing w:after="0" w:line="240" w:lineRule="auto"/>
        <w:jc w:val="center"/>
        <w:rPr>
          <w:rFonts w:ascii="Verdana" w:hAnsi="Verdana" w:cs="Calibri"/>
        </w:rPr>
      </w:pPr>
      <w:r w:rsidRPr="008E0628">
        <w:rPr>
          <w:rFonts w:ascii="Verdana" w:hAnsi="Verdana"/>
          <w:noProof/>
          <w:lang w:eastAsia="es-ES"/>
        </w:rPr>
        <w:drawing>
          <wp:inline distT="0" distB="0" distL="0" distR="0" wp14:anchorId="23827EFB" wp14:editId="604E2F29">
            <wp:extent cx="3956685" cy="1600200"/>
            <wp:effectExtent l="19050" t="0" r="5715" b="0"/>
            <wp:docPr id="4" name="Gráfico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6"/>
                    <pic:cNvPicPr>
                      <a:picLocks noChangeArrowheads="1"/>
                    </pic:cNvPicPr>
                  </pic:nvPicPr>
                  <pic:blipFill>
                    <a:blip r:embed="rId12" cstate="print"/>
                    <a:srcRect/>
                    <a:stretch>
                      <a:fillRect/>
                    </a:stretch>
                  </pic:blipFill>
                  <pic:spPr bwMode="auto">
                    <a:xfrm>
                      <a:off x="0" y="0"/>
                      <a:ext cx="3956685" cy="1600200"/>
                    </a:xfrm>
                    <a:prstGeom prst="rect">
                      <a:avLst/>
                    </a:prstGeom>
                    <a:noFill/>
                    <a:ln w="9525">
                      <a:noFill/>
                      <a:miter lim="800000"/>
                      <a:headEnd/>
                      <a:tailEnd/>
                    </a:ln>
                  </pic:spPr>
                </pic:pic>
              </a:graphicData>
            </a:graphic>
          </wp:inline>
        </w:drawing>
      </w:r>
    </w:p>
    <w:p w:rsidR="008E0628" w:rsidRPr="008E0628" w:rsidRDefault="008E0628" w:rsidP="008E0628">
      <w:pPr>
        <w:keepNext/>
        <w:keepLines/>
        <w:widowControl w:val="0"/>
        <w:autoSpaceDE w:val="0"/>
        <w:autoSpaceDN w:val="0"/>
        <w:adjustRightInd w:val="0"/>
        <w:spacing w:after="0" w:line="240" w:lineRule="auto"/>
        <w:jc w:val="center"/>
        <w:rPr>
          <w:rFonts w:ascii="Verdana" w:hAnsi="Verdana" w:cs="Calibri"/>
          <w:sz w:val="20"/>
          <w:szCs w:val="20"/>
        </w:rPr>
      </w:pPr>
      <w:r>
        <w:rPr>
          <w:rFonts w:ascii="Verdana" w:hAnsi="Verdana" w:cs="Calibri"/>
          <w:sz w:val="20"/>
          <w:szCs w:val="20"/>
        </w:rPr>
        <w:t>Fuente: con base a tabla 3</w:t>
      </w:r>
      <w:r w:rsidRPr="008E0628">
        <w:rPr>
          <w:rFonts w:ascii="Verdana" w:hAnsi="Verdana" w:cs="Calibri"/>
          <w:sz w:val="20"/>
          <w:szCs w:val="20"/>
        </w:rPr>
        <w:t>.1</w:t>
      </w:r>
    </w:p>
    <w:p w:rsidR="008E0628" w:rsidRDefault="008E0628" w:rsidP="008E0628">
      <w:pPr>
        <w:widowControl w:val="0"/>
        <w:autoSpaceDE w:val="0"/>
        <w:autoSpaceDN w:val="0"/>
        <w:adjustRightInd w:val="0"/>
        <w:spacing w:after="0" w:line="240" w:lineRule="auto"/>
        <w:jc w:val="both"/>
        <w:rPr>
          <w:rFonts w:ascii="Verdana" w:hAnsi="Verdana" w:cs="Calibri"/>
        </w:rPr>
      </w:pPr>
    </w:p>
    <w:p w:rsidR="008E0628" w:rsidRPr="008E0628" w:rsidRDefault="008E0628" w:rsidP="008E0628">
      <w:pPr>
        <w:widowControl w:val="0"/>
        <w:autoSpaceDE w:val="0"/>
        <w:autoSpaceDN w:val="0"/>
        <w:adjustRightInd w:val="0"/>
        <w:spacing w:after="0" w:line="240" w:lineRule="auto"/>
        <w:jc w:val="both"/>
        <w:rPr>
          <w:rFonts w:ascii="Verdana" w:hAnsi="Verdana" w:cs="Calibri"/>
        </w:rPr>
      </w:pPr>
    </w:p>
    <w:p w:rsidR="008E0628" w:rsidRPr="008E0628" w:rsidRDefault="008E0628" w:rsidP="008E0628">
      <w:pPr>
        <w:keepNext/>
        <w:keepLines/>
        <w:widowControl w:val="0"/>
        <w:autoSpaceDE w:val="0"/>
        <w:autoSpaceDN w:val="0"/>
        <w:adjustRightInd w:val="0"/>
        <w:spacing w:after="0" w:line="240" w:lineRule="auto"/>
        <w:jc w:val="center"/>
        <w:rPr>
          <w:rFonts w:ascii="Verdana" w:hAnsi="Verdana" w:cs="Calibri"/>
        </w:rPr>
      </w:pPr>
      <w:r>
        <w:rPr>
          <w:rFonts w:ascii="Verdana" w:hAnsi="Verdana" w:cs="Calibri"/>
        </w:rPr>
        <w:t>Gráfico 3</w:t>
      </w:r>
      <w:r w:rsidRPr="008E0628">
        <w:rPr>
          <w:rFonts w:ascii="Verdana" w:hAnsi="Verdana" w:cs="Calibri"/>
        </w:rPr>
        <w:t>.3. Hegemonía de CCOO y UGT frente al resto de sindicatos (en % de delegados)</w:t>
      </w:r>
    </w:p>
    <w:p w:rsidR="008E0628" w:rsidRPr="008E0628" w:rsidRDefault="008E0628" w:rsidP="008E0628">
      <w:pPr>
        <w:keepNext/>
        <w:keepLines/>
        <w:widowControl w:val="0"/>
        <w:autoSpaceDE w:val="0"/>
        <w:autoSpaceDN w:val="0"/>
        <w:adjustRightInd w:val="0"/>
        <w:spacing w:after="0" w:line="240" w:lineRule="auto"/>
        <w:jc w:val="center"/>
        <w:rPr>
          <w:rFonts w:ascii="Verdana" w:hAnsi="Verdana" w:cs="Calibri"/>
        </w:rPr>
      </w:pPr>
      <w:r w:rsidRPr="008E0628">
        <w:rPr>
          <w:rFonts w:ascii="Verdana" w:hAnsi="Verdana"/>
          <w:noProof/>
          <w:lang w:eastAsia="es-ES"/>
        </w:rPr>
        <w:drawing>
          <wp:inline distT="0" distB="0" distL="0" distR="0" wp14:anchorId="28C881DF" wp14:editId="2F2B0142">
            <wp:extent cx="3657600" cy="1512570"/>
            <wp:effectExtent l="19050" t="0" r="0" b="0"/>
            <wp:docPr id="5" name="Gráfico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7"/>
                    <pic:cNvPicPr>
                      <a:picLocks noChangeArrowheads="1"/>
                    </pic:cNvPicPr>
                  </pic:nvPicPr>
                  <pic:blipFill>
                    <a:blip r:embed="rId13" cstate="print"/>
                    <a:srcRect b="-43"/>
                    <a:stretch>
                      <a:fillRect/>
                    </a:stretch>
                  </pic:blipFill>
                  <pic:spPr bwMode="auto">
                    <a:xfrm>
                      <a:off x="0" y="0"/>
                      <a:ext cx="3657600" cy="1512570"/>
                    </a:xfrm>
                    <a:prstGeom prst="rect">
                      <a:avLst/>
                    </a:prstGeom>
                    <a:noFill/>
                    <a:ln w="9525">
                      <a:noFill/>
                      <a:miter lim="800000"/>
                      <a:headEnd/>
                      <a:tailEnd/>
                    </a:ln>
                  </pic:spPr>
                </pic:pic>
              </a:graphicData>
            </a:graphic>
          </wp:inline>
        </w:drawing>
      </w:r>
    </w:p>
    <w:p w:rsidR="008E0628" w:rsidRPr="008E0628" w:rsidRDefault="008E0628" w:rsidP="008E0628">
      <w:pPr>
        <w:keepNext/>
        <w:keepLines/>
        <w:widowControl w:val="0"/>
        <w:autoSpaceDE w:val="0"/>
        <w:autoSpaceDN w:val="0"/>
        <w:adjustRightInd w:val="0"/>
        <w:spacing w:after="0" w:line="240" w:lineRule="auto"/>
        <w:jc w:val="center"/>
        <w:rPr>
          <w:rFonts w:ascii="Verdana" w:hAnsi="Verdana" w:cs="Calibri"/>
        </w:rPr>
      </w:pPr>
      <w:r>
        <w:rPr>
          <w:rFonts w:ascii="Verdana" w:hAnsi="Verdana" w:cs="Calibri"/>
          <w:sz w:val="20"/>
          <w:szCs w:val="20"/>
        </w:rPr>
        <w:t>Fuente: con base a tabla 3</w:t>
      </w:r>
      <w:r w:rsidRPr="008E0628">
        <w:rPr>
          <w:rFonts w:ascii="Verdana" w:hAnsi="Verdana" w:cs="Calibri"/>
          <w:sz w:val="20"/>
          <w:szCs w:val="20"/>
        </w:rPr>
        <w:t>.1</w:t>
      </w:r>
    </w:p>
    <w:p w:rsidR="008E0628" w:rsidRPr="008E0628" w:rsidRDefault="008E0628" w:rsidP="008E0628">
      <w:pPr>
        <w:widowControl w:val="0"/>
        <w:autoSpaceDE w:val="0"/>
        <w:autoSpaceDN w:val="0"/>
        <w:adjustRightInd w:val="0"/>
        <w:spacing w:after="0" w:line="240" w:lineRule="auto"/>
        <w:jc w:val="both"/>
        <w:rPr>
          <w:rFonts w:ascii="Verdana" w:hAnsi="Verdana" w:cs="Calibri"/>
        </w:rPr>
      </w:pPr>
    </w:p>
    <w:p w:rsidR="008E0628" w:rsidRDefault="008E0628" w:rsidP="008E0628">
      <w:pPr>
        <w:widowControl w:val="0"/>
        <w:autoSpaceDE w:val="0"/>
        <w:spacing w:after="0" w:line="240" w:lineRule="auto"/>
        <w:jc w:val="both"/>
        <w:rPr>
          <w:rFonts w:ascii="Verdana" w:hAnsi="Verdana"/>
        </w:rPr>
      </w:pPr>
    </w:p>
    <w:p w:rsidR="008E0628" w:rsidRPr="008E0628" w:rsidRDefault="008E0628" w:rsidP="008E0628">
      <w:pPr>
        <w:widowControl w:val="0"/>
        <w:autoSpaceDE w:val="0"/>
        <w:spacing w:after="0" w:line="240" w:lineRule="auto"/>
        <w:jc w:val="both"/>
        <w:rPr>
          <w:rFonts w:ascii="Verdana" w:hAnsi="Verdana"/>
        </w:rPr>
      </w:pPr>
      <w:r w:rsidRPr="008E0628">
        <w:rPr>
          <w:rFonts w:ascii="Verdana" w:hAnsi="Verdana"/>
        </w:rPr>
        <w:t>Las cuatro primeras convocatorias de elecciones sindicales lo fueron sólo para empresas y trabajadores/as del sector privado, mientras que a partir de 1987 el sistema se amplió, con algunas peculiaridades formales (distinta definición de las unidades electorales y distribución de las Juntas de Personal), a los funcionarios de la Administración Pública, Sanidad, Enseñanza, Justicia, etc., tras la aprobación de la LOR</w:t>
      </w:r>
      <w:r w:rsidRPr="008E0628">
        <w:rPr>
          <w:rStyle w:val="Carctersdenotaalpeu"/>
          <w:rFonts w:ascii="Verdana" w:hAnsi="Verdana"/>
        </w:rPr>
        <w:footnoteReference w:id="27"/>
      </w:r>
      <w:r w:rsidRPr="008E0628">
        <w:rPr>
          <w:rFonts w:ascii="Verdana" w:hAnsi="Verdana"/>
        </w:rPr>
        <w:t>, lo que aumentó notablemente su cobertura y representatividad.</w:t>
      </w:r>
    </w:p>
    <w:p w:rsidR="008E0628" w:rsidRDefault="008E0628" w:rsidP="008E0628">
      <w:pPr>
        <w:widowControl w:val="0"/>
        <w:autoSpaceDE w:val="0"/>
        <w:spacing w:after="0" w:line="240" w:lineRule="auto"/>
        <w:jc w:val="both"/>
        <w:rPr>
          <w:rFonts w:ascii="Verdana" w:hAnsi="Verdana"/>
        </w:rPr>
      </w:pPr>
    </w:p>
    <w:p w:rsidR="008E0628" w:rsidRPr="008E0628" w:rsidRDefault="008E0628" w:rsidP="008E0628">
      <w:pPr>
        <w:widowControl w:val="0"/>
        <w:autoSpaceDE w:val="0"/>
        <w:spacing w:after="0" w:line="240" w:lineRule="auto"/>
        <w:jc w:val="both"/>
        <w:rPr>
          <w:rFonts w:ascii="Verdana" w:hAnsi="Verdana"/>
        </w:rPr>
      </w:pPr>
      <w:r w:rsidRPr="008E0628">
        <w:rPr>
          <w:rFonts w:ascii="Verdana" w:hAnsi="Verdana"/>
        </w:rPr>
        <w:t xml:space="preserve">Otra modificación importante en la regulación formal e implementación práctica del sistema de representación fue la derivada del Acuerdo </w:t>
      </w:r>
      <w:proofErr w:type="spellStart"/>
      <w:r w:rsidRPr="008E0628">
        <w:rPr>
          <w:rFonts w:ascii="Verdana" w:hAnsi="Verdana"/>
        </w:rPr>
        <w:t>Interconfederal</w:t>
      </w:r>
      <w:proofErr w:type="spellEnd"/>
      <w:r w:rsidRPr="008E0628">
        <w:rPr>
          <w:rFonts w:ascii="Verdana" w:hAnsi="Verdana"/>
        </w:rPr>
        <w:t xml:space="preserve"> entre CCOO y UGT de 23 de septiembre de 1992 –posteriormente incorporada al Estatuto de los Trabajadores por la Ley 11/1994- por el que se suprimió el período cerrado de cómputo de tres meses cada cuatro años para la realización de las elecciones sindicales y se fijaba un sistema de cómputo dinámico de actualización continua de resultados electorales que contribuiría, además, a rebajar considerablemente los niveles de tensión y de concurrencia cuasi-política entre los sindicatos participantes. A partir de dicha reforma legal se eliminó, asimismo, la proclamación global de resultados, fijándose un sistema de acreditación en función del ámbito (convenio, sector, territorio, etc.) y del </w:t>
      </w:r>
      <w:r w:rsidRPr="008E0628">
        <w:rPr>
          <w:rFonts w:ascii="Verdana" w:hAnsi="Verdana"/>
        </w:rPr>
        <w:lastRenderedPageBreak/>
        <w:t>momento en que deba ejercerse la representatividad derivada de los mismos.</w:t>
      </w:r>
    </w:p>
    <w:p w:rsidR="008E0628" w:rsidRDefault="008E0628" w:rsidP="008E0628">
      <w:pPr>
        <w:spacing w:after="0" w:line="240" w:lineRule="auto"/>
        <w:jc w:val="both"/>
        <w:rPr>
          <w:rFonts w:ascii="Verdana" w:hAnsi="Verdana"/>
        </w:rPr>
      </w:pPr>
    </w:p>
    <w:p w:rsidR="008E0628" w:rsidRPr="008E0628" w:rsidRDefault="008E0628" w:rsidP="008E0628">
      <w:pPr>
        <w:spacing w:after="0" w:line="240" w:lineRule="auto"/>
        <w:jc w:val="both"/>
        <w:rPr>
          <w:rFonts w:ascii="Verdana" w:hAnsi="Verdana"/>
        </w:rPr>
      </w:pPr>
      <w:r w:rsidRPr="008E0628">
        <w:rPr>
          <w:rFonts w:ascii="Verdana" w:hAnsi="Verdana"/>
        </w:rPr>
        <w:t>Conforme a los datos oficiales acreditados por el Ministerio de Empleo, a 31 de diciembre de 2012 el número total de representantes de los trabajadores/as elegidos/as ascendía a 303.622, de los que 280.462 (el 92,4%) correspondía a empresas privadas y personal laboral de las administraciones públicas, y el 7,6% restante habían sido elegidos/as por los funcionarios/as de los diferentes ámbitos de la administración pública, que por volumen de empleo representa el 12% del total de la población asalariada, poniendo de manifiesto dicho desajuste el desigual tamaño y grado de cobertura de sus respectivas unidades electorales.</w:t>
      </w:r>
    </w:p>
    <w:p w:rsidR="008E0628" w:rsidRDefault="008E0628" w:rsidP="008E0628">
      <w:pPr>
        <w:autoSpaceDE w:val="0"/>
        <w:spacing w:after="0" w:line="240" w:lineRule="auto"/>
        <w:jc w:val="both"/>
        <w:rPr>
          <w:rFonts w:ascii="Verdana" w:hAnsi="Verdana" w:cs="Tisa"/>
        </w:rPr>
      </w:pPr>
    </w:p>
    <w:p w:rsidR="008E0628" w:rsidRDefault="008E0628" w:rsidP="008E0628">
      <w:pPr>
        <w:autoSpaceDE w:val="0"/>
        <w:spacing w:after="0" w:line="240" w:lineRule="auto"/>
        <w:jc w:val="both"/>
        <w:rPr>
          <w:rFonts w:ascii="Verdana" w:hAnsi="Verdana" w:cs="Tisa"/>
        </w:rPr>
      </w:pPr>
      <w:r w:rsidRPr="008E0628">
        <w:rPr>
          <w:rFonts w:ascii="Verdana" w:hAnsi="Verdana" w:cs="Tisa"/>
        </w:rPr>
        <w:t>En cuanto a los resultados por candidaturas (</w:t>
      </w:r>
      <w:r>
        <w:rPr>
          <w:rFonts w:ascii="Verdana" w:hAnsi="Verdana" w:cs="Tisa-Ita"/>
        </w:rPr>
        <w:t>tablas de 3.2 a 3</w:t>
      </w:r>
      <w:r w:rsidRPr="008E0628">
        <w:rPr>
          <w:rFonts w:ascii="Verdana" w:hAnsi="Verdana" w:cs="Tisa-Ita"/>
        </w:rPr>
        <w:t>.5</w:t>
      </w:r>
      <w:r w:rsidRPr="008E0628">
        <w:rPr>
          <w:rFonts w:ascii="Verdana" w:hAnsi="Verdana" w:cs="Tisa"/>
        </w:rPr>
        <w:t>), si bien la información oficial disponible no ofrece un alto grado de desagregación sí aporta datos globales relevantes y permite identificar algunas pautas diferenciadas, siendo especialmente significativas las siguientes:</w:t>
      </w:r>
    </w:p>
    <w:p w:rsidR="008E0628" w:rsidRPr="008E0628" w:rsidRDefault="008E0628" w:rsidP="008E0628">
      <w:pPr>
        <w:autoSpaceDE w:val="0"/>
        <w:spacing w:after="0" w:line="240" w:lineRule="auto"/>
        <w:jc w:val="both"/>
        <w:rPr>
          <w:rFonts w:ascii="Verdana" w:hAnsi="Verdana" w:cs="Tisa"/>
        </w:rPr>
      </w:pPr>
    </w:p>
    <w:p w:rsidR="008E0628" w:rsidRPr="008E0628" w:rsidRDefault="008E0628" w:rsidP="008E0628">
      <w:pPr>
        <w:numPr>
          <w:ilvl w:val="0"/>
          <w:numId w:val="5"/>
        </w:numPr>
        <w:suppressAutoHyphens/>
        <w:spacing w:after="0" w:line="240" w:lineRule="auto"/>
        <w:jc w:val="both"/>
        <w:rPr>
          <w:rFonts w:ascii="Verdana" w:hAnsi="Verdana" w:cs="Arial"/>
        </w:rPr>
      </w:pPr>
      <w:r w:rsidRPr="008E0628">
        <w:rPr>
          <w:rFonts w:ascii="Verdana" w:hAnsi="Verdana" w:cs="Arial"/>
          <w:i/>
        </w:rPr>
        <w:t xml:space="preserve">Incremento de la representación: </w:t>
      </w:r>
      <w:r w:rsidRPr="008E0628">
        <w:rPr>
          <w:rFonts w:ascii="Verdana" w:hAnsi="Verdana" w:cs="Arial"/>
        </w:rPr>
        <w:t xml:space="preserve">tras </w:t>
      </w:r>
      <w:r w:rsidRPr="008E0628">
        <w:rPr>
          <w:rFonts w:ascii="Verdana" w:hAnsi="Verdana"/>
        </w:rPr>
        <w:t xml:space="preserve">cada fase de ciclo económico recesivo, la representación sindical ha experimentado, tras disminuir, un auge considerable. Ello se puede observar en la diferencia entre el número de delegados de </w:t>
      </w:r>
      <w:smartTag w:uri="urn:schemas-microsoft-com:office:smarttags" w:element="metricconverter">
        <w:smartTagPr>
          <w:attr w:name="ProductID" w:val="1982 a"/>
        </w:smartTagPr>
        <w:r w:rsidRPr="008E0628">
          <w:rPr>
            <w:rFonts w:ascii="Verdana" w:hAnsi="Verdana"/>
          </w:rPr>
          <w:t>1982 a</w:t>
        </w:r>
      </w:smartTag>
      <w:r w:rsidRPr="008E0628">
        <w:rPr>
          <w:rFonts w:ascii="Verdana" w:hAnsi="Verdana"/>
        </w:rPr>
        <w:t xml:space="preserve"> 1986 y de </w:t>
      </w:r>
      <w:smartTag w:uri="urn:schemas-microsoft-com:office:smarttags" w:element="metricconverter">
        <w:smartTagPr>
          <w:attr w:name="ProductID" w:val="1995 a"/>
        </w:smartTagPr>
        <w:r w:rsidRPr="008E0628">
          <w:rPr>
            <w:rFonts w:ascii="Verdana" w:hAnsi="Verdana"/>
          </w:rPr>
          <w:t>1995 a</w:t>
        </w:r>
      </w:smartTag>
      <w:r w:rsidRPr="008E0628">
        <w:rPr>
          <w:rFonts w:ascii="Verdana" w:hAnsi="Verdana"/>
        </w:rPr>
        <w:t xml:space="preserve"> 1999.</w:t>
      </w:r>
    </w:p>
    <w:p w:rsidR="008E0628" w:rsidRPr="008E0628" w:rsidRDefault="008E0628" w:rsidP="008E0628">
      <w:pPr>
        <w:suppressAutoHyphens/>
        <w:spacing w:after="0" w:line="240" w:lineRule="auto"/>
        <w:ind w:left="360"/>
        <w:jc w:val="both"/>
        <w:rPr>
          <w:rFonts w:ascii="Verdana" w:hAnsi="Verdana" w:cs="Arial"/>
        </w:rPr>
      </w:pPr>
      <w:r w:rsidRPr="008E0628">
        <w:rPr>
          <w:rFonts w:ascii="Verdana" w:hAnsi="Verdana"/>
        </w:rPr>
        <w:t>En la actualidad la fase de declive económico</w:t>
      </w:r>
      <w:r w:rsidRPr="008E0628">
        <w:rPr>
          <w:rFonts w:ascii="Verdana" w:hAnsi="Verdana" w:cs="Arial"/>
        </w:rPr>
        <w:t xml:space="preserve"> y ocupacional iniciada en 2007 está repercutiendo negativamente.</w:t>
      </w:r>
    </w:p>
    <w:p w:rsidR="008E0628" w:rsidRPr="008E0628" w:rsidRDefault="008E0628" w:rsidP="008E0628">
      <w:pPr>
        <w:numPr>
          <w:ilvl w:val="0"/>
          <w:numId w:val="5"/>
        </w:numPr>
        <w:suppressAutoHyphens/>
        <w:spacing w:after="0" w:line="240" w:lineRule="auto"/>
        <w:jc w:val="both"/>
        <w:rPr>
          <w:rFonts w:ascii="Verdana" w:hAnsi="Verdana" w:cs="Arial"/>
        </w:rPr>
      </w:pPr>
      <w:r w:rsidRPr="008E0628">
        <w:rPr>
          <w:rFonts w:ascii="Verdana" w:hAnsi="Verdana" w:cs="Arial"/>
          <w:i/>
        </w:rPr>
        <w:t xml:space="preserve">Mayoría de CCOO: </w:t>
      </w:r>
      <w:r w:rsidRPr="008E0628">
        <w:rPr>
          <w:rFonts w:ascii="Verdana" w:hAnsi="Verdana" w:cs="Arial"/>
        </w:rPr>
        <w:t>con el 37,5% del total de los delegados electos, CCOO se confirma como primera fuerza sindical, consolidando una tendencia iniciada en 1995, tanto entre los trabajadores del sector privado (38,7%) como entre los funcionarios públicos (22,3%).</w:t>
      </w:r>
    </w:p>
    <w:p w:rsidR="008E0628" w:rsidRPr="008E0628" w:rsidRDefault="008E0628" w:rsidP="008E0628">
      <w:pPr>
        <w:numPr>
          <w:ilvl w:val="0"/>
          <w:numId w:val="5"/>
        </w:numPr>
        <w:suppressAutoHyphens/>
        <w:spacing w:after="0" w:line="240" w:lineRule="auto"/>
        <w:jc w:val="both"/>
        <w:rPr>
          <w:rFonts w:ascii="Verdana" w:hAnsi="Verdana" w:cs="Tisa"/>
        </w:rPr>
      </w:pPr>
      <w:r w:rsidRPr="008E0628">
        <w:rPr>
          <w:rFonts w:ascii="Verdana" w:hAnsi="Verdana" w:cs="Arial"/>
          <w:i/>
        </w:rPr>
        <w:t xml:space="preserve">Sindicatos </w:t>
      </w:r>
      <w:r w:rsidRPr="008E0628">
        <w:rPr>
          <w:rFonts w:ascii="Verdana" w:hAnsi="Verdana"/>
          <w:i/>
        </w:rPr>
        <w:t>más representativos</w:t>
      </w:r>
      <w:r w:rsidRPr="008E0628">
        <w:rPr>
          <w:rFonts w:ascii="Verdana" w:hAnsi="Verdana"/>
        </w:rPr>
        <w:t>: conforme a la normativa vigente tan sólo CCOO y UGT alcanzan la condición de organizaciones “más representativas” a nivel general, por superar el 10% de los delegados electos en el conjunto español, acumulando entre ambas el 72,9% de la representatividad en 2012, tras incrementarse</w:t>
      </w:r>
      <w:r w:rsidRPr="008E0628">
        <w:rPr>
          <w:rFonts w:ascii="Verdana" w:hAnsi="Verdana" w:cs="Arial"/>
        </w:rPr>
        <w:t xml:space="preserve"> notablemente desde 1978 (56,2% de la representación) hasta 2007</w:t>
      </w:r>
      <w:r w:rsidRPr="008E0628">
        <w:rPr>
          <w:rFonts w:ascii="Verdana" w:hAnsi="Verdana" w:cs="Tisa"/>
        </w:rPr>
        <w:t>, para moderarse posteriormente.</w:t>
      </w:r>
    </w:p>
    <w:p w:rsidR="008E0628" w:rsidRPr="008E0628" w:rsidRDefault="008E0628" w:rsidP="008E0628">
      <w:pPr>
        <w:autoSpaceDE w:val="0"/>
        <w:spacing w:after="0" w:line="240" w:lineRule="auto"/>
        <w:ind w:left="360"/>
        <w:jc w:val="both"/>
        <w:rPr>
          <w:rFonts w:ascii="Verdana" w:hAnsi="Verdana" w:cs="Tisa"/>
          <w:b/>
          <w:color w:val="FF0000"/>
        </w:rPr>
      </w:pPr>
    </w:p>
    <w:p w:rsidR="008E0628" w:rsidRDefault="008E0628" w:rsidP="008E0628">
      <w:pPr>
        <w:keepNext/>
        <w:keepLines/>
        <w:spacing w:after="0" w:line="240" w:lineRule="auto"/>
        <w:jc w:val="center"/>
        <w:rPr>
          <w:rFonts w:ascii="Verdana" w:hAnsi="Verdana"/>
        </w:rPr>
      </w:pPr>
      <w:r>
        <w:rPr>
          <w:rFonts w:ascii="Verdana" w:hAnsi="Verdana"/>
        </w:rPr>
        <w:t>Tabla 3</w:t>
      </w:r>
      <w:r w:rsidRPr="008E0628">
        <w:rPr>
          <w:rFonts w:ascii="Verdana" w:hAnsi="Verdana"/>
        </w:rPr>
        <w:t>.2. La representación sindical a 31-12-2012</w:t>
      </w:r>
    </w:p>
    <w:tbl>
      <w:tblPr>
        <w:tblW w:w="0" w:type="auto"/>
        <w:jc w:val="center"/>
        <w:tblInd w:w="-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383"/>
        <w:gridCol w:w="1219"/>
        <w:gridCol w:w="777"/>
        <w:gridCol w:w="959"/>
        <w:gridCol w:w="696"/>
        <w:gridCol w:w="1052"/>
        <w:gridCol w:w="671"/>
      </w:tblGrid>
      <w:tr w:rsidR="008E0628" w:rsidRPr="008E0628" w:rsidTr="00111BCB">
        <w:trPr>
          <w:jc w:val="center"/>
        </w:trPr>
        <w:tc>
          <w:tcPr>
            <w:tcW w:w="0" w:type="auto"/>
            <w:tcBorders>
              <w:top w:val="double" w:sz="4" w:space="0" w:color="auto"/>
              <w:left w:val="double" w:sz="4" w:space="0" w:color="auto"/>
              <w:bottom w:val="nil"/>
              <w:right w:val="single" w:sz="4" w:space="0" w:color="000000"/>
            </w:tcBorders>
            <w:shd w:val="clear" w:color="auto" w:fill="D9D9D9"/>
          </w:tcPr>
          <w:p w:rsidR="008E0628" w:rsidRPr="008E0628" w:rsidRDefault="008E0628" w:rsidP="008E0628">
            <w:pPr>
              <w:keepNext/>
              <w:keepLines/>
              <w:snapToGrid w:val="0"/>
              <w:spacing w:after="0" w:line="240" w:lineRule="auto"/>
              <w:rPr>
                <w:rFonts w:ascii="Verdana" w:hAnsi="Verdana"/>
                <w:b/>
                <w:sz w:val="20"/>
                <w:szCs w:val="20"/>
              </w:rPr>
            </w:pPr>
          </w:p>
        </w:tc>
        <w:tc>
          <w:tcPr>
            <w:tcW w:w="0" w:type="auto"/>
            <w:gridSpan w:val="2"/>
            <w:tcBorders>
              <w:top w:val="double" w:sz="4" w:space="0" w:color="auto"/>
              <w:left w:val="single" w:sz="4" w:space="0" w:color="000000"/>
              <w:bottom w:val="nil"/>
              <w:right w:val="single" w:sz="4" w:space="0" w:color="000000"/>
            </w:tcBorders>
            <w:shd w:val="clear" w:color="auto" w:fill="D9D9D9"/>
          </w:tcPr>
          <w:p w:rsidR="008E0628" w:rsidRPr="008E0628" w:rsidRDefault="008E0628" w:rsidP="008E0628">
            <w:pPr>
              <w:keepNext/>
              <w:keepLines/>
              <w:snapToGrid w:val="0"/>
              <w:spacing w:after="0" w:line="240" w:lineRule="auto"/>
              <w:jc w:val="center"/>
              <w:rPr>
                <w:rFonts w:ascii="Verdana" w:hAnsi="Verdana"/>
                <w:b/>
                <w:sz w:val="20"/>
                <w:szCs w:val="20"/>
                <w:lang w:val="en-US"/>
              </w:rPr>
            </w:pPr>
            <w:r w:rsidRPr="008E0628">
              <w:rPr>
                <w:rFonts w:ascii="Verdana" w:hAnsi="Verdana"/>
                <w:b/>
                <w:sz w:val="20"/>
                <w:szCs w:val="20"/>
                <w:lang w:val="en-US"/>
              </w:rPr>
              <w:t xml:space="preserve">Sector </w:t>
            </w:r>
            <w:proofErr w:type="spellStart"/>
            <w:r w:rsidRPr="008E0628">
              <w:rPr>
                <w:rFonts w:ascii="Verdana" w:hAnsi="Verdana"/>
                <w:b/>
                <w:sz w:val="20"/>
                <w:szCs w:val="20"/>
                <w:lang w:val="en-US"/>
              </w:rPr>
              <w:t>privado</w:t>
            </w:r>
            <w:proofErr w:type="spellEnd"/>
            <w:r w:rsidRPr="008E0628">
              <w:rPr>
                <w:rFonts w:ascii="Verdana" w:hAnsi="Verdana"/>
                <w:b/>
                <w:sz w:val="20"/>
                <w:szCs w:val="20"/>
                <w:lang w:val="en-US"/>
              </w:rPr>
              <w:t>*</w:t>
            </w:r>
          </w:p>
        </w:tc>
        <w:tc>
          <w:tcPr>
            <w:tcW w:w="0" w:type="auto"/>
            <w:gridSpan w:val="2"/>
            <w:tcBorders>
              <w:top w:val="double" w:sz="4" w:space="0" w:color="auto"/>
              <w:left w:val="single" w:sz="4" w:space="0" w:color="000000"/>
              <w:bottom w:val="nil"/>
              <w:right w:val="single" w:sz="4" w:space="0" w:color="000000"/>
            </w:tcBorders>
            <w:shd w:val="clear" w:color="auto" w:fill="D9D9D9"/>
          </w:tcPr>
          <w:p w:rsidR="008E0628" w:rsidRPr="008E0628" w:rsidRDefault="008E0628" w:rsidP="008E0628">
            <w:pPr>
              <w:keepNext/>
              <w:keepLines/>
              <w:snapToGrid w:val="0"/>
              <w:spacing w:after="0" w:line="240" w:lineRule="auto"/>
              <w:jc w:val="center"/>
              <w:rPr>
                <w:rFonts w:ascii="Verdana" w:hAnsi="Verdana"/>
                <w:b/>
                <w:sz w:val="20"/>
                <w:szCs w:val="20"/>
                <w:lang w:val="en-US"/>
              </w:rPr>
            </w:pPr>
            <w:proofErr w:type="spellStart"/>
            <w:r w:rsidRPr="008E0628">
              <w:rPr>
                <w:rFonts w:ascii="Verdana" w:hAnsi="Verdana"/>
                <w:b/>
                <w:sz w:val="20"/>
                <w:szCs w:val="20"/>
                <w:lang w:val="en-US"/>
              </w:rPr>
              <w:t>Funcionarios</w:t>
            </w:r>
            <w:proofErr w:type="spellEnd"/>
          </w:p>
        </w:tc>
        <w:tc>
          <w:tcPr>
            <w:tcW w:w="0" w:type="auto"/>
            <w:gridSpan w:val="2"/>
            <w:tcBorders>
              <w:top w:val="double" w:sz="4" w:space="0" w:color="auto"/>
              <w:left w:val="single" w:sz="4" w:space="0" w:color="000000"/>
              <w:bottom w:val="nil"/>
              <w:right w:val="double" w:sz="4" w:space="0" w:color="auto"/>
            </w:tcBorders>
            <w:shd w:val="clear" w:color="auto" w:fill="D9D9D9"/>
          </w:tcPr>
          <w:p w:rsidR="008E0628" w:rsidRPr="008E0628" w:rsidRDefault="008E0628" w:rsidP="008E0628">
            <w:pPr>
              <w:keepNext/>
              <w:keepLines/>
              <w:snapToGrid w:val="0"/>
              <w:spacing w:after="0" w:line="240" w:lineRule="auto"/>
              <w:jc w:val="center"/>
              <w:rPr>
                <w:rFonts w:ascii="Verdana" w:hAnsi="Verdana"/>
                <w:b/>
                <w:sz w:val="20"/>
                <w:szCs w:val="20"/>
                <w:lang w:val="en-US"/>
              </w:rPr>
            </w:pPr>
            <w:r w:rsidRPr="008E0628">
              <w:rPr>
                <w:rFonts w:ascii="Verdana" w:hAnsi="Verdana"/>
                <w:b/>
                <w:sz w:val="20"/>
                <w:szCs w:val="20"/>
                <w:lang w:val="en-US"/>
              </w:rPr>
              <w:t>Total</w:t>
            </w:r>
          </w:p>
        </w:tc>
      </w:tr>
      <w:tr w:rsidR="008E0628" w:rsidRPr="008E0628" w:rsidTr="00111BCB">
        <w:trPr>
          <w:jc w:val="center"/>
        </w:trPr>
        <w:tc>
          <w:tcPr>
            <w:tcW w:w="0" w:type="auto"/>
            <w:tcBorders>
              <w:top w:val="nil"/>
              <w:left w:val="double" w:sz="4" w:space="0" w:color="auto"/>
              <w:bottom w:val="single" w:sz="4" w:space="0" w:color="000000"/>
              <w:right w:val="single" w:sz="4" w:space="0" w:color="000000"/>
            </w:tcBorders>
            <w:shd w:val="clear" w:color="auto" w:fill="D9D9D9"/>
          </w:tcPr>
          <w:p w:rsidR="008E0628" w:rsidRPr="008E0628" w:rsidRDefault="008E0628" w:rsidP="008E0628">
            <w:pPr>
              <w:keepNext/>
              <w:keepLines/>
              <w:snapToGrid w:val="0"/>
              <w:spacing w:after="0" w:line="240" w:lineRule="auto"/>
              <w:rPr>
                <w:rFonts w:ascii="Verdana" w:hAnsi="Verdana"/>
                <w:sz w:val="20"/>
                <w:szCs w:val="20"/>
                <w:lang w:val="en-US"/>
              </w:rPr>
            </w:pPr>
          </w:p>
        </w:tc>
        <w:tc>
          <w:tcPr>
            <w:tcW w:w="0" w:type="auto"/>
            <w:tcBorders>
              <w:top w:val="nil"/>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rFonts w:ascii="Verdana" w:hAnsi="Verdana"/>
                <w:b/>
                <w:sz w:val="20"/>
                <w:szCs w:val="20"/>
                <w:lang w:val="en-US"/>
              </w:rPr>
            </w:pPr>
            <w:proofErr w:type="spellStart"/>
            <w:r w:rsidRPr="008E0628">
              <w:rPr>
                <w:rFonts w:ascii="Verdana" w:hAnsi="Verdana"/>
                <w:b/>
                <w:sz w:val="20"/>
                <w:szCs w:val="20"/>
                <w:lang w:val="en-US"/>
              </w:rPr>
              <w:t>Núm</w:t>
            </w:r>
            <w:proofErr w:type="spellEnd"/>
            <w:r w:rsidRPr="008E0628">
              <w:rPr>
                <w:rFonts w:ascii="Verdana" w:hAnsi="Verdana"/>
                <w:b/>
                <w:sz w:val="20"/>
                <w:szCs w:val="20"/>
                <w:lang w:val="en-US"/>
              </w:rPr>
              <w:t>.</w:t>
            </w:r>
          </w:p>
        </w:tc>
        <w:tc>
          <w:tcPr>
            <w:tcW w:w="0" w:type="auto"/>
            <w:tcBorders>
              <w:top w:val="nil"/>
              <w:left w:val="nil"/>
              <w:bottom w:val="single" w:sz="4" w:space="0" w:color="000000"/>
              <w:right w:val="single" w:sz="4" w:space="0" w:color="000000"/>
            </w:tcBorders>
            <w:shd w:val="clear" w:color="auto" w:fill="D9D9D9"/>
          </w:tcPr>
          <w:p w:rsidR="008E0628" w:rsidRPr="008E0628" w:rsidRDefault="008E0628" w:rsidP="008E0628">
            <w:pPr>
              <w:keepNext/>
              <w:keepLines/>
              <w:snapToGrid w:val="0"/>
              <w:spacing w:after="0" w:line="240" w:lineRule="auto"/>
              <w:jc w:val="center"/>
              <w:rPr>
                <w:rFonts w:ascii="Verdana" w:hAnsi="Verdana"/>
                <w:b/>
                <w:sz w:val="20"/>
                <w:szCs w:val="20"/>
                <w:lang w:val="en-US"/>
              </w:rPr>
            </w:pPr>
            <w:r w:rsidRPr="008E0628">
              <w:rPr>
                <w:rFonts w:ascii="Verdana" w:hAnsi="Verdana"/>
                <w:b/>
                <w:sz w:val="20"/>
                <w:szCs w:val="20"/>
                <w:lang w:val="en-US"/>
              </w:rPr>
              <w:t>%</w:t>
            </w:r>
          </w:p>
        </w:tc>
        <w:tc>
          <w:tcPr>
            <w:tcW w:w="0" w:type="auto"/>
            <w:tcBorders>
              <w:top w:val="nil"/>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rFonts w:ascii="Verdana" w:hAnsi="Verdana"/>
                <w:b/>
                <w:sz w:val="20"/>
                <w:szCs w:val="20"/>
                <w:lang w:val="en-US"/>
              </w:rPr>
            </w:pPr>
            <w:proofErr w:type="spellStart"/>
            <w:r w:rsidRPr="008E0628">
              <w:rPr>
                <w:rFonts w:ascii="Verdana" w:hAnsi="Verdana"/>
                <w:b/>
                <w:sz w:val="20"/>
                <w:szCs w:val="20"/>
                <w:lang w:val="en-US"/>
              </w:rPr>
              <w:t>Núm</w:t>
            </w:r>
            <w:proofErr w:type="spellEnd"/>
            <w:r w:rsidRPr="008E0628">
              <w:rPr>
                <w:rFonts w:ascii="Verdana" w:hAnsi="Verdana"/>
                <w:b/>
                <w:sz w:val="20"/>
                <w:szCs w:val="20"/>
                <w:lang w:val="en-US"/>
              </w:rPr>
              <w:t>.</w:t>
            </w:r>
          </w:p>
        </w:tc>
        <w:tc>
          <w:tcPr>
            <w:tcW w:w="0" w:type="auto"/>
            <w:tcBorders>
              <w:top w:val="nil"/>
              <w:left w:val="nil"/>
              <w:bottom w:val="single" w:sz="4" w:space="0" w:color="000000"/>
              <w:right w:val="single" w:sz="4" w:space="0" w:color="000000"/>
            </w:tcBorders>
            <w:shd w:val="clear" w:color="auto" w:fill="D9D9D9"/>
          </w:tcPr>
          <w:p w:rsidR="008E0628" w:rsidRPr="008E0628" w:rsidRDefault="008E0628" w:rsidP="008E0628">
            <w:pPr>
              <w:keepNext/>
              <w:keepLines/>
              <w:snapToGrid w:val="0"/>
              <w:spacing w:after="0" w:line="240" w:lineRule="auto"/>
              <w:jc w:val="center"/>
              <w:rPr>
                <w:rFonts w:ascii="Verdana" w:hAnsi="Verdana"/>
                <w:b/>
                <w:sz w:val="20"/>
                <w:szCs w:val="20"/>
                <w:lang w:val="en-US"/>
              </w:rPr>
            </w:pPr>
            <w:r w:rsidRPr="008E0628">
              <w:rPr>
                <w:rFonts w:ascii="Verdana" w:hAnsi="Verdana"/>
                <w:b/>
                <w:sz w:val="20"/>
                <w:szCs w:val="20"/>
                <w:lang w:val="en-US"/>
              </w:rPr>
              <w:t>%</w:t>
            </w:r>
          </w:p>
        </w:tc>
        <w:tc>
          <w:tcPr>
            <w:tcW w:w="0" w:type="auto"/>
            <w:tcBorders>
              <w:top w:val="nil"/>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rFonts w:ascii="Verdana" w:hAnsi="Verdana"/>
                <w:b/>
                <w:sz w:val="20"/>
                <w:szCs w:val="20"/>
                <w:lang w:val="en-US"/>
              </w:rPr>
            </w:pPr>
            <w:proofErr w:type="spellStart"/>
            <w:r w:rsidRPr="008E0628">
              <w:rPr>
                <w:rFonts w:ascii="Verdana" w:hAnsi="Verdana"/>
                <w:b/>
                <w:sz w:val="20"/>
                <w:szCs w:val="20"/>
                <w:lang w:val="en-US"/>
              </w:rPr>
              <w:t>Núm</w:t>
            </w:r>
            <w:proofErr w:type="spellEnd"/>
            <w:r w:rsidRPr="008E0628">
              <w:rPr>
                <w:rFonts w:ascii="Verdana" w:hAnsi="Verdana"/>
                <w:b/>
                <w:sz w:val="20"/>
                <w:szCs w:val="20"/>
                <w:lang w:val="en-US"/>
              </w:rPr>
              <w:t>.</w:t>
            </w:r>
          </w:p>
        </w:tc>
        <w:tc>
          <w:tcPr>
            <w:tcW w:w="0" w:type="auto"/>
            <w:tcBorders>
              <w:top w:val="nil"/>
              <w:left w:val="nil"/>
              <w:bottom w:val="single" w:sz="4" w:space="0" w:color="000000"/>
              <w:right w:val="double" w:sz="4" w:space="0" w:color="auto"/>
            </w:tcBorders>
            <w:shd w:val="clear" w:color="auto" w:fill="D9D9D9"/>
          </w:tcPr>
          <w:p w:rsidR="008E0628" w:rsidRPr="008E0628" w:rsidRDefault="008E0628" w:rsidP="008E0628">
            <w:pPr>
              <w:keepNext/>
              <w:keepLines/>
              <w:snapToGrid w:val="0"/>
              <w:spacing w:after="0" w:line="240" w:lineRule="auto"/>
              <w:jc w:val="center"/>
              <w:rPr>
                <w:rFonts w:ascii="Verdana" w:hAnsi="Verdana"/>
                <w:b/>
                <w:sz w:val="20"/>
                <w:szCs w:val="20"/>
                <w:lang w:val="en-US"/>
              </w:rPr>
            </w:pPr>
            <w:r w:rsidRPr="008E0628">
              <w:rPr>
                <w:rFonts w:ascii="Verdana" w:hAnsi="Verdana"/>
                <w:b/>
                <w:sz w:val="20"/>
                <w:szCs w:val="20"/>
                <w:lang w:val="en-US"/>
              </w:rPr>
              <w:t>%</w:t>
            </w:r>
          </w:p>
        </w:tc>
      </w:tr>
      <w:tr w:rsidR="008E0628" w:rsidRPr="008E0628" w:rsidTr="00111BCB">
        <w:trPr>
          <w:jc w:val="center"/>
        </w:trPr>
        <w:tc>
          <w:tcPr>
            <w:tcW w:w="0" w:type="auto"/>
            <w:tcBorders>
              <w:top w:val="single" w:sz="4" w:space="0" w:color="000000"/>
              <w:left w:val="double" w:sz="4" w:space="0" w:color="auto"/>
              <w:bottom w:val="nil"/>
              <w:right w:val="single" w:sz="4" w:space="0" w:color="000000"/>
            </w:tcBorders>
          </w:tcPr>
          <w:p w:rsidR="008E0628" w:rsidRPr="008E0628" w:rsidRDefault="008E0628" w:rsidP="008E0628">
            <w:pPr>
              <w:keepNext/>
              <w:keepLines/>
              <w:snapToGrid w:val="0"/>
              <w:spacing w:after="0" w:line="240" w:lineRule="auto"/>
              <w:rPr>
                <w:rFonts w:ascii="Verdana" w:hAnsi="Verdana"/>
                <w:sz w:val="20"/>
                <w:szCs w:val="20"/>
                <w:lang w:val="en-US"/>
              </w:rPr>
            </w:pPr>
            <w:r w:rsidRPr="008E0628">
              <w:rPr>
                <w:rFonts w:ascii="Verdana" w:hAnsi="Verdana"/>
                <w:sz w:val="20"/>
                <w:szCs w:val="20"/>
                <w:lang w:val="en-US"/>
              </w:rPr>
              <w:t>CCOO</w:t>
            </w:r>
          </w:p>
        </w:tc>
        <w:tc>
          <w:tcPr>
            <w:tcW w:w="0" w:type="auto"/>
            <w:tcBorders>
              <w:top w:val="single" w:sz="4" w:space="0" w:color="000000"/>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108.547</w:t>
            </w:r>
          </w:p>
        </w:tc>
        <w:tc>
          <w:tcPr>
            <w:tcW w:w="0" w:type="auto"/>
            <w:tcBorders>
              <w:top w:val="single" w:sz="4" w:space="0" w:color="000000"/>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38,7</w:t>
            </w:r>
          </w:p>
        </w:tc>
        <w:tc>
          <w:tcPr>
            <w:tcW w:w="0" w:type="auto"/>
            <w:tcBorders>
              <w:top w:val="single" w:sz="4" w:space="0" w:color="000000"/>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5.147</w:t>
            </w:r>
          </w:p>
        </w:tc>
        <w:tc>
          <w:tcPr>
            <w:tcW w:w="0" w:type="auto"/>
            <w:tcBorders>
              <w:top w:val="single" w:sz="4" w:space="0" w:color="000000"/>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22,3</w:t>
            </w:r>
          </w:p>
        </w:tc>
        <w:tc>
          <w:tcPr>
            <w:tcW w:w="0" w:type="auto"/>
            <w:tcBorders>
              <w:top w:val="single" w:sz="4" w:space="0" w:color="000000"/>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113.721</w:t>
            </w:r>
          </w:p>
        </w:tc>
        <w:tc>
          <w:tcPr>
            <w:tcW w:w="0" w:type="auto"/>
            <w:tcBorders>
              <w:top w:val="single" w:sz="4" w:space="0" w:color="000000"/>
              <w:left w:val="nil"/>
              <w:bottom w:val="nil"/>
              <w:right w:val="double" w:sz="4" w:space="0" w:color="auto"/>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37,5</w:t>
            </w:r>
          </w:p>
        </w:tc>
      </w:tr>
      <w:tr w:rsidR="008E0628" w:rsidRPr="008E0628" w:rsidTr="00111BCB">
        <w:trPr>
          <w:jc w:val="center"/>
        </w:trPr>
        <w:tc>
          <w:tcPr>
            <w:tcW w:w="0" w:type="auto"/>
            <w:tcBorders>
              <w:top w:val="nil"/>
              <w:left w:val="double" w:sz="4" w:space="0" w:color="auto"/>
              <w:bottom w:val="nil"/>
              <w:right w:val="single" w:sz="4" w:space="0" w:color="000000"/>
            </w:tcBorders>
          </w:tcPr>
          <w:p w:rsidR="008E0628" w:rsidRPr="008E0628" w:rsidRDefault="008E0628" w:rsidP="008E0628">
            <w:pPr>
              <w:keepNext/>
              <w:keepLines/>
              <w:snapToGrid w:val="0"/>
              <w:spacing w:after="0" w:line="240" w:lineRule="auto"/>
              <w:rPr>
                <w:rFonts w:ascii="Verdana" w:hAnsi="Verdana"/>
                <w:sz w:val="20"/>
                <w:szCs w:val="20"/>
                <w:lang w:val="en-US"/>
              </w:rPr>
            </w:pPr>
            <w:r w:rsidRPr="008E0628">
              <w:rPr>
                <w:rFonts w:ascii="Verdana" w:hAnsi="Verdana"/>
                <w:sz w:val="20"/>
                <w:szCs w:val="20"/>
                <w:lang w:val="en-US"/>
              </w:rPr>
              <w:t>UGT</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102.843</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36,7</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4.616</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19,9</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107.459</w:t>
            </w:r>
          </w:p>
        </w:tc>
        <w:tc>
          <w:tcPr>
            <w:tcW w:w="0" w:type="auto"/>
            <w:tcBorders>
              <w:top w:val="nil"/>
              <w:left w:val="nil"/>
              <w:bottom w:val="nil"/>
              <w:right w:val="double" w:sz="4" w:space="0" w:color="auto"/>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35,4</w:t>
            </w:r>
          </w:p>
        </w:tc>
      </w:tr>
      <w:tr w:rsidR="008E0628" w:rsidRPr="008E0628" w:rsidTr="00111BCB">
        <w:trPr>
          <w:jc w:val="center"/>
        </w:trPr>
        <w:tc>
          <w:tcPr>
            <w:tcW w:w="0" w:type="auto"/>
            <w:tcBorders>
              <w:top w:val="nil"/>
              <w:left w:val="double" w:sz="4" w:space="0" w:color="auto"/>
              <w:bottom w:val="nil"/>
              <w:right w:val="single" w:sz="4" w:space="0" w:color="000000"/>
            </w:tcBorders>
          </w:tcPr>
          <w:p w:rsidR="008E0628" w:rsidRPr="008E0628" w:rsidRDefault="008E0628" w:rsidP="008E0628">
            <w:pPr>
              <w:keepNext/>
              <w:keepLines/>
              <w:snapToGrid w:val="0"/>
              <w:spacing w:after="0" w:line="240" w:lineRule="auto"/>
              <w:rPr>
                <w:rFonts w:ascii="Verdana" w:hAnsi="Verdana"/>
                <w:sz w:val="20"/>
                <w:szCs w:val="20"/>
                <w:lang w:val="en-US"/>
              </w:rPr>
            </w:pPr>
            <w:r w:rsidRPr="008E0628">
              <w:rPr>
                <w:rFonts w:ascii="Verdana" w:hAnsi="Verdana"/>
                <w:sz w:val="20"/>
                <w:szCs w:val="20"/>
                <w:lang w:val="en-US"/>
              </w:rPr>
              <w:t>USO</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10.211</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3,6</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779</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3,4</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10.990</w:t>
            </w:r>
          </w:p>
        </w:tc>
        <w:tc>
          <w:tcPr>
            <w:tcW w:w="0" w:type="auto"/>
            <w:tcBorders>
              <w:top w:val="nil"/>
              <w:left w:val="nil"/>
              <w:bottom w:val="nil"/>
              <w:right w:val="double" w:sz="4" w:space="0" w:color="auto"/>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3,6</w:t>
            </w:r>
          </w:p>
        </w:tc>
      </w:tr>
      <w:tr w:rsidR="008E0628" w:rsidRPr="008E0628" w:rsidTr="00111BCB">
        <w:trPr>
          <w:jc w:val="center"/>
        </w:trPr>
        <w:tc>
          <w:tcPr>
            <w:tcW w:w="0" w:type="auto"/>
            <w:tcBorders>
              <w:top w:val="nil"/>
              <w:left w:val="double" w:sz="4" w:space="0" w:color="auto"/>
              <w:bottom w:val="nil"/>
              <w:right w:val="single" w:sz="4" w:space="0" w:color="000000"/>
            </w:tcBorders>
          </w:tcPr>
          <w:p w:rsidR="008E0628" w:rsidRPr="008E0628" w:rsidRDefault="008E0628" w:rsidP="008E0628">
            <w:pPr>
              <w:keepNext/>
              <w:keepLines/>
              <w:snapToGrid w:val="0"/>
              <w:spacing w:after="0" w:line="240" w:lineRule="auto"/>
              <w:rPr>
                <w:rFonts w:ascii="Verdana" w:hAnsi="Verdana"/>
                <w:sz w:val="20"/>
                <w:szCs w:val="20"/>
                <w:lang w:val="en-US"/>
              </w:rPr>
            </w:pPr>
            <w:r w:rsidRPr="008E0628">
              <w:rPr>
                <w:rFonts w:ascii="Verdana" w:hAnsi="Verdana"/>
                <w:sz w:val="20"/>
                <w:szCs w:val="20"/>
                <w:lang w:val="en-US"/>
              </w:rPr>
              <w:t>CSIF</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6.215</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2,2</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3.946</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17,0</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10.161</w:t>
            </w:r>
          </w:p>
        </w:tc>
        <w:tc>
          <w:tcPr>
            <w:tcW w:w="0" w:type="auto"/>
            <w:tcBorders>
              <w:top w:val="nil"/>
              <w:left w:val="nil"/>
              <w:bottom w:val="nil"/>
              <w:right w:val="double" w:sz="4" w:space="0" w:color="auto"/>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3,3</w:t>
            </w:r>
          </w:p>
        </w:tc>
      </w:tr>
      <w:tr w:rsidR="008E0628" w:rsidRPr="008E0628" w:rsidTr="00111BCB">
        <w:trPr>
          <w:jc w:val="center"/>
        </w:trPr>
        <w:tc>
          <w:tcPr>
            <w:tcW w:w="0" w:type="auto"/>
            <w:tcBorders>
              <w:top w:val="nil"/>
              <w:left w:val="double" w:sz="4" w:space="0" w:color="auto"/>
              <w:bottom w:val="nil"/>
              <w:right w:val="single" w:sz="4" w:space="0" w:color="000000"/>
            </w:tcBorders>
          </w:tcPr>
          <w:p w:rsidR="008E0628" w:rsidRPr="008E0628" w:rsidRDefault="008E0628" w:rsidP="008E0628">
            <w:pPr>
              <w:keepNext/>
              <w:keepLines/>
              <w:snapToGrid w:val="0"/>
              <w:spacing w:after="0" w:line="240" w:lineRule="auto"/>
              <w:rPr>
                <w:rFonts w:ascii="Verdana" w:hAnsi="Verdana"/>
                <w:sz w:val="20"/>
                <w:szCs w:val="20"/>
                <w:lang w:val="en-US"/>
              </w:rPr>
            </w:pPr>
            <w:r w:rsidRPr="008E0628">
              <w:rPr>
                <w:rFonts w:ascii="Verdana" w:hAnsi="Verdana"/>
                <w:sz w:val="20"/>
                <w:szCs w:val="20"/>
                <w:lang w:val="en-US"/>
              </w:rPr>
              <w:t>ELA</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8.500</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3,0</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555</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2,4</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9.055</w:t>
            </w:r>
          </w:p>
        </w:tc>
        <w:tc>
          <w:tcPr>
            <w:tcW w:w="0" w:type="auto"/>
            <w:tcBorders>
              <w:top w:val="nil"/>
              <w:left w:val="nil"/>
              <w:bottom w:val="nil"/>
              <w:right w:val="double" w:sz="4" w:space="0" w:color="auto"/>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3,0</w:t>
            </w:r>
          </w:p>
        </w:tc>
      </w:tr>
      <w:tr w:rsidR="008E0628" w:rsidRPr="008E0628" w:rsidTr="00111BCB">
        <w:trPr>
          <w:jc w:val="center"/>
        </w:trPr>
        <w:tc>
          <w:tcPr>
            <w:tcW w:w="0" w:type="auto"/>
            <w:tcBorders>
              <w:top w:val="nil"/>
              <w:left w:val="double" w:sz="4" w:space="0" w:color="auto"/>
              <w:bottom w:val="nil"/>
              <w:right w:val="single" w:sz="4" w:space="0" w:color="000000"/>
            </w:tcBorders>
          </w:tcPr>
          <w:p w:rsidR="008E0628" w:rsidRPr="008E0628" w:rsidRDefault="008E0628" w:rsidP="008E0628">
            <w:pPr>
              <w:keepNext/>
              <w:keepLines/>
              <w:snapToGrid w:val="0"/>
              <w:spacing w:after="0" w:line="240" w:lineRule="auto"/>
              <w:rPr>
                <w:rFonts w:ascii="Verdana" w:hAnsi="Verdana"/>
                <w:sz w:val="20"/>
                <w:szCs w:val="20"/>
                <w:lang w:val="en-US"/>
              </w:rPr>
            </w:pPr>
            <w:r w:rsidRPr="008E0628">
              <w:rPr>
                <w:rFonts w:ascii="Verdana" w:hAnsi="Verdana"/>
                <w:sz w:val="20"/>
                <w:szCs w:val="20"/>
                <w:lang w:val="en-US"/>
              </w:rPr>
              <w:t>LAB</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3.850</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1,4</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378</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1,6</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4.228</w:t>
            </w:r>
          </w:p>
        </w:tc>
        <w:tc>
          <w:tcPr>
            <w:tcW w:w="0" w:type="auto"/>
            <w:tcBorders>
              <w:top w:val="nil"/>
              <w:left w:val="nil"/>
              <w:bottom w:val="nil"/>
              <w:right w:val="double" w:sz="4" w:space="0" w:color="auto"/>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1,4</w:t>
            </w:r>
          </w:p>
        </w:tc>
      </w:tr>
      <w:tr w:rsidR="008E0628" w:rsidRPr="008E0628" w:rsidTr="00111BCB">
        <w:trPr>
          <w:jc w:val="center"/>
        </w:trPr>
        <w:tc>
          <w:tcPr>
            <w:tcW w:w="0" w:type="auto"/>
            <w:tcBorders>
              <w:top w:val="nil"/>
              <w:left w:val="double" w:sz="4" w:space="0" w:color="auto"/>
              <w:bottom w:val="nil"/>
              <w:right w:val="single" w:sz="4" w:space="0" w:color="000000"/>
            </w:tcBorders>
          </w:tcPr>
          <w:p w:rsidR="008E0628" w:rsidRPr="008E0628" w:rsidRDefault="008E0628" w:rsidP="008E0628">
            <w:pPr>
              <w:keepNext/>
              <w:keepLines/>
              <w:snapToGrid w:val="0"/>
              <w:spacing w:after="0" w:line="240" w:lineRule="auto"/>
              <w:rPr>
                <w:rFonts w:ascii="Verdana" w:hAnsi="Verdana"/>
                <w:sz w:val="20"/>
                <w:szCs w:val="20"/>
                <w:lang w:val="en-US"/>
              </w:rPr>
            </w:pPr>
            <w:r w:rsidRPr="008E0628">
              <w:rPr>
                <w:rFonts w:ascii="Verdana" w:hAnsi="Verdana"/>
                <w:sz w:val="20"/>
                <w:szCs w:val="20"/>
                <w:lang w:val="en-US"/>
              </w:rPr>
              <w:t>CIG</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4.547</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1,6</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359</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1,6</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4.933</w:t>
            </w:r>
          </w:p>
        </w:tc>
        <w:tc>
          <w:tcPr>
            <w:tcW w:w="0" w:type="auto"/>
            <w:tcBorders>
              <w:top w:val="nil"/>
              <w:left w:val="nil"/>
              <w:bottom w:val="nil"/>
              <w:right w:val="double" w:sz="4" w:space="0" w:color="auto"/>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1,6</w:t>
            </w:r>
          </w:p>
        </w:tc>
      </w:tr>
      <w:tr w:rsidR="008E0628" w:rsidRPr="008E0628" w:rsidTr="00111BCB">
        <w:trPr>
          <w:jc w:val="center"/>
        </w:trPr>
        <w:tc>
          <w:tcPr>
            <w:tcW w:w="0" w:type="auto"/>
            <w:tcBorders>
              <w:top w:val="nil"/>
              <w:left w:val="double" w:sz="4" w:space="0" w:color="auto"/>
              <w:bottom w:val="nil"/>
              <w:right w:val="single" w:sz="4" w:space="0" w:color="000000"/>
            </w:tcBorders>
          </w:tcPr>
          <w:p w:rsidR="008E0628" w:rsidRPr="008E0628" w:rsidRDefault="008E0628" w:rsidP="008E0628">
            <w:pPr>
              <w:keepNext/>
              <w:keepLines/>
              <w:snapToGrid w:val="0"/>
              <w:spacing w:after="0" w:line="240" w:lineRule="auto"/>
              <w:rPr>
                <w:rFonts w:ascii="Verdana" w:hAnsi="Verdana"/>
                <w:sz w:val="20"/>
                <w:szCs w:val="20"/>
                <w:lang w:val="en-US"/>
              </w:rPr>
            </w:pPr>
            <w:r w:rsidRPr="008E0628">
              <w:rPr>
                <w:rFonts w:ascii="Verdana" w:hAnsi="Verdana"/>
                <w:sz w:val="20"/>
                <w:szCs w:val="20"/>
                <w:lang w:val="en-US"/>
              </w:rPr>
              <w:t>CGT</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4.327</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1,5</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478</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2,1</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4.805</w:t>
            </w:r>
          </w:p>
        </w:tc>
        <w:tc>
          <w:tcPr>
            <w:tcW w:w="0" w:type="auto"/>
            <w:tcBorders>
              <w:top w:val="nil"/>
              <w:left w:val="nil"/>
              <w:bottom w:val="nil"/>
              <w:right w:val="double" w:sz="4" w:space="0" w:color="auto"/>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1,6</w:t>
            </w:r>
          </w:p>
        </w:tc>
      </w:tr>
      <w:tr w:rsidR="008E0628" w:rsidRPr="008E0628" w:rsidTr="00111BCB">
        <w:trPr>
          <w:jc w:val="center"/>
        </w:trPr>
        <w:tc>
          <w:tcPr>
            <w:tcW w:w="0" w:type="auto"/>
            <w:tcBorders>
              <w:top w:val="nil"/>
              <w:left w:val="double" w:sz="4" w:space="0" w:color="auto"/>
              <w:bottom w:val="nil"/>
              <w:right w:val="single" w:sz="4" w:space="0" w:color="000000"/>
            </w:tcBorders>
          </w:tcPr>
          <w:p w:rsidR="008E0628" w:rsidRPr="008E0628" w:rsidRDefault="008E0628" w:rsidP="008E0628">
            <w:pPr>
              <w:keepNext/>
              <w:keepLines/>
              <w:snapToGrid w:val="0"/>
              <w:spacing w:after="0" w:line="240" w:lineRule="auto"/>
              <w:rPr>
                <w:rFonts w:ascii="Verdana" w:hAnsi="Verdana"/>
                <w:sz w:val="20"/>
                <w:szCs w:val="20"/>
                <w:lang w:val="en-US"/>
              </w:rPr>
            </w:pPr>
            <w:proofErr w:type="spellStart"/>
            <w:r w:rsidRPr="008E0628">
              <w:rPr>
                <w:rFonts w:ascii="Verdana" w:hAnsi="Verdana"/>
                <w:sz w:val="20"/>
                <w:szCs w:val="20"/>
                <w:lang w:val="en-US"/>
              </w:rPr>
              <w:t>Otros</w:t>
            </w:r>
            <w:proofErr w:type="spellEnd"/>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24.945</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8,9</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6.671</w:t>
            </w:r>
          </w:p>
        </w:tc>
        <w:tc>
          <w:tcPr>
            <w:tcW w:w="0" w:type="auto"/>
            <w:tcBorders>
              <w:top w:val="nil"/>
              <w:left w:val="nil"/>
              <w:bottom w:val="nil"/>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28,8</w:t>
            </w:r>
          </w:p>
        </w:tc>
        <w:tc>
          <w:tcPr>
            <w:tcW w:w="0" w:type="auto"/>
            <w:tcBorders>
              <w:top w:val="nil"/>
              <w:left w:val="single" w:sz="4" w:space="0" w:color="000000"/>
              <w:bottom w:val="nil"/>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31.616</w:t>
            </w:r>
          </w:p>
        </w:tc>
        <w:tc>
          <w:tcPr>
            <w:tcW w:w="0" w:type="auto"/>
            <w:tcBorders>
              <w:top w:val="nil"/>
              <w:left w:val="nil"/>
              <w:bottom w:val="nil"/>
              <w:right w:val="double" w:sz="4" w:space="0" w:color="auto"/>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10,4</w:t>
            </w:r>
          </w:p>
        </w:tc>
      </w:tr>
      <w:tr w:rsidR="008E0628" w:rsidRPr="008E0628" w:rsidTr="00111BCB">
        <w:trPr>
          <w:jc w:val="center"/>
        </w:trPr>
        <w:tc>
          <w:tcPr>
            <w:tcW w:w="0" w:type="auto"/>
            <w:tcBorders>
              <w:top w:val="nil"/>
              <w:left w:val="double" w:sz="4" w:space="0" w:color="auto"/>
              <w:bottom w:val="single" w:sz="4" w:space="0" w:color="000000"/>
              <w:right w:val="single" w:sz="4" w:space="0" w:color="000000"/>
            </w:tcBorders>
          </w:tcPr>
          <w:p w:rsidR="008E0628" w:rsidRPr="008E0628" w:rsidRDefault="008E0628" w:rsidP="008E0628">
            <w:pPr>
              <w:keepNext/>
              <w:keepLines/>
              <w:snapToGrid w:val="0"/>
              <w:spacing w:after="0" w:line="240" w:lineRule="auto"/>
              <w:rPr>
                <w:rFonts w:ascii="Verdana" w:hAnsi="Verdana"/>
                <w:sz w:val="20"/>
                <w:szCs w:val="20"/>
                <w:lang w:val="en-US"/>
              </w:rPr>
            </w:pPr>
            <w:r w:rsidRPr="008E0628">
              <w:rPr>
                <w:rFonts w:ascii="Verdana" w:hAnsi="Verdana"/>
                <w:sz w:val="20"/>
                <w:szCs w:val="20"/>
                <w:lang w:val="en-US"/>
              </w:rPr>
              <w:t xml:space="preserve">No </w:t>
            </w:r>
            <w:proofErr w:type="spellStart"/>
            <w:r w:rsidRPr="008E0628">
              <w:rPr>
                <w:rFonts w:ascii="Verdana" w:hAnsi="Verdana"/>
                <w:sz w:val="20"/>
                <w:szCs w:val="20"/>
                <w:lang w:val="en-US"/>
              </w:rPr>
              <w:t>afiliados</w:t>
            </w:r>
            <w:proofErr w:type="spellEnd"/>
          </w:p>
        </w:tc>
        <w:tc>
          <w:tcPr>
            <w:tcW w:w="0" w:type="auto"/>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6.450</w:t>
            </w:r>
          </w:p>
        </w:tc>
        <w:tc>
          <w:tcPr>
            <w:tcW w:w="0" w:type="auto"/>
            <w:tcBorders>
              <w:top w:val="nil"/>
              <w:left w:val="nil"/>
              <w:bottom w:val="single" w:sz="4" w:space="0" w:color="000000"/>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2,3</w:t>
            </w:r>
          </w:p>
        </w:tc>
        <w:tc>
          <w:tcPr>
            <w:tcW w:w="0" w:type="auto"/>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204</w:t>
            </w:r>
          </w:p>
        </w:tc>
        <w:tc>
          <w:tcPr>
            <w:tcW w:w="0" w:type="auto"/>
            <w:tcBorders>
              <w:top w:val="nil"/>
              <w:left w:val="nil"/>
              <w:bottom w:val="single" w:sz="4" w:space="0" w:color="000000"/>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0,9</w:t>
            </w:r>
          </w:p>
        </w:tc>
        <w:tc>
          <w:tcPr>
            <w:tcW w:w="0" w:type="auto"/>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6.654</w:t>
            </w:r>
          </w:p>
        </w:tc>
        <w:tc>
          <w:tcPr>
            <w:tcW w:w="0" w:type="auto"/>
            <w:tcBorders>
              <w:top w:val="nil"/>
              <w:left w:val="nil"/>
              <w:bottom w:val="single" w:sz="4" w:space="0" w:color="000000"/>
              <w:right w:val="double" w:sz="4" w:space="0" w:color="auto"/>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2,2</w:t>
            </w:r>
          </w:p>
        </w:tc>
      </w:tr>
      <w:tr w:rsidR="008E0628" w:rsidRPr="008E0628" w:rsidTr="00111BCB">
        <w:trPr>
          <w:jc w:val="center"/>
        </w:trPr>
        <w:tc>
          <w:tcPr>
            <w:tcW w:w="0" w:type="auto"/>
            <w:tcBorders>
              <w:top w:val="single" w:sz="4" w:space="0" w:color="000000"/>
              <w:left w:val="double" w:sz="4" w:space="0" w:color="auto"/>
              <w:bottom w:val="double" w:sz="4" w:space="0" w:color="auto"/>
              <w:right w:val="single" w:sz="4" w:space="0" w:color="000000"/>
            </w:tcBorders>
          </w:tcPr>
          <w:p w:rsidR="008E0628" w:rsidRPr="008E0628" w:rsidRDefault="008E0628" w:rsidP="008E0628">
            <w:pPr>
              <w:keepNext/>
              <w:keepLines/>
              <w:snapToGrid w:val="0"/>
              <w:spacing w:after="0" w:line="240" w:lineRule="auto"/>
              <w:rPr>
                <w:rFonts w:ascii="Verdana" w:hAnsi="Verdana"/>
                <w:sz w:val="20"/>
                <w:szCs w:val="20"/>
                <w:lang w:val="en-US"/>
              </w:rPr>
            </w:pPr>
            <w:r w:rsidRPr="008E0628">
              <w:rPr>
                <w:rFonts w:ascii="Verdana" w:hAnsi="Verdana"/>
                <w:sz w:val="20"/>
                <w:szCs w:val="20"/>
                <w:lang w:val="en-US"/>
              </w:rPr>
              <w:t>TOTAL</w:t>
            </w:r>
          </w:p>
        </w:tc>
        <w:tc>
          <w:tcPr>
            <w:tcW w:w="0" w:type="auto"/>
            <w:tcBorders>
              <w:top w:val="single" w:sz="4" w:space="0" w:color="000000"/>
              <w:left w:val="single" w:sz="4" w:space="0" w:color="000000"/>
              <w:bottom w:val="double" w:sz="4" w:space="0" w:color="auto"/>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280.462</w:t>
            </w:r>
          </w:p>
        </w:tc>
        <w:tc>
          <w:tcPr>
            <w:tcW w:w="0" w:type="auto"/>
            <w:tcBorders>
              <w:top w:val="single" w:sz="4" w:space="0" w:color="000000"/>
              <w:left w:val="nil"/>
              <w:bottom w:val="double" w:sz="4" w:space="0" w:color="auto"/>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100</w:t>
            </w:r>
          </w:p>
        </w:tc>
        <w:tc>
          <w:tcPr>
            <w:tcW w:w="0" w:type="auto"/>
            <w:tcBorders>
              <w:top w:val="single" w:sz="4" w:space="0" w:color="000000"/>
              <w:left w:val="single" w:sz="4" w:space="0" w:color="000000"/>
              <w:bottom w:val="double" w:sz="4" w:space="0" w:color="auto"/>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23.160</w:t>
            </w:r>
          </w:p>
        </w:tc>
        <w:tc>
          <w:tcPr>
            <w:tcW w:w="0" w:type="auto"/>
            <w:tcBorders>
              <w:top w:val="single" w:sz="4" w:space="0" w:color="000000"/>
              <w:left w:val="nil"/>
              <w:bottom w:val="double" w:sz="4" w:space="0" w:color="auto"/>
              <w:right w:val="single" w:sz="4" w:space="0" w:color="000000"/>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100</w:t>
            </w:r>
          </w:p>
        </w:tc>
        <w:tc>
          <w:tcPr>
            <w:tcW w:w="0" w:type="auto"/>
            <w:tcBorders>
              <w:top w:val="single" w:sz="4" w:space="0" w:color="000000"/>
              <w:left w:val="single" w:sz="4" w:space="0" w:color="000000"/>
              <w:bottom w:val="double" w:sz="4" w:space="0" w:color="auto"/>
              <w:right w:val="nil"/>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303.622</w:t>
            </w:r>
          </w:p>
        </w:tc>
        <w:tc>
          <w:tcPr>
            <w:tcW w:w="0" w:type="auto"/>
            <w:tcBorders>
              <w:top w:val="single" w:sz="4" w:space="0" w:color="000000"/>
              <w:left w:val="nil"/>
              <w:bottom w:val="double" w:sz="4" w:space="0" w:color="auto"/>
              <w:right w:val="double" w:sz="4" w:space="0" w:color="auto"/>
            </w:tcBorders>
          </w:tcPr>
          <w:p w:rsidR="008E0628" w:rsidRPr="008E0628" w:rsidRDefault="008E0628" w:rsidP="008E0628">
            <w:pPr>
              <w:keepNext/>
              <w:keepLines/>
              <w:snapToGrid w:val="0"/>
              <w:spacing w:after="0" w:line="240" w:lineRule="auto"/>
              <w:jc w:val="right"/>
              <w:rPr>
                <w:rFonts w:ascii="Verdana" w:hAnsi="Verdana"/>
                <w:sz w:val="20"/>
                <w:szCs w:val="20"/>
                <w:lang w:val="en-US"/>
              </w:rPr>
            </w:pPr>
            <w:r w:rsidRPr="008E0628">
              <w:rPr>
                <w:rFonts w:ascii="Verdana" w:hAnsi="Verdana"/>
                <w:sz w:val="20"/>
                <w:szCs w:val="20"/>
                <w:lang w:val="en-US"/>
              </w:rPr>
              <w:t>100</w:t>
            </w:r>
          </w:p>
        </w:tc>
      </w:tr>
    </w:tbl>
    <w:p w:rsidR="008E0628" w:rsidRPr="008E0628" w:rsidRDefault="008E0628" w:rsidP="008E0628">
      <w:pPr>
        <w:keepNext/>
        <w:keepLines/>
        <w:spacing w:after="0" w:line="240" w:lineRule="auto"/>
        <w:jc w:val="center"/>
        <w:rPr>
          <w:rFonts w:ascii="Verdana" w:hAnsi="Verdana"/>
          <w:sz w:val="20"/>
          <w:szCs w:val="20"/>
        </w:rPr>
      </w:pPr>
      <w:r w:rsidRPr="008E0628">
        <w:rPr>
          <w:rFonts w:ascii="Verdana" w:hAnsi="Verdana"/>
          <w:sz w:val="20"/>
          <w:szCs w:val="20"/>
        </w:rPr>
        <w:t>Nota: * sector privado y personal laboral de las administraciones públicas</w:t>
      </w:r>
    </w:p>
    <w:p w:rsidR="008E0628" w:rsidRPr="008E0628" w:rsidRDefault="008E0628" w:rsidP="008E0628">
      <w:pPr>
        <w:keepNext/>
        <w:keepLines/>
        <w:spacing w:after="0" w:line="240" w:lineRule="auto"/>
        <w:jc w:val="center"/>
        <w:rPr>
          <w:rFonts w:ascii="Verdana" w:hAnsi="Verdana"/>
          <w:sz w:val="20"/>
          <w:szCs w:val="20"/>
        </w:rPr>
      </w:pPr>
      <w:r w:rsidRPr="008E0628">
        <w:rPr>
          <w:rFonts w:ascii="Verdana" w:hAnsi="Verdana"/>
          <w:sz w:val="20"/>
          <w:szCs w:val="20"/>
        </w:rPr>
        <w:t>Fuente: Ministerio de Empleo</w:t>
      </w:r>
    </w:p>
    <w:p w:rsidR="008E0628" w:rsidRPr="008E0628" w:rsidRDefault="008E0628" w:rsidP="008E0628">
      <w:pPr>
        <w:spacing w:after="0" w:line="240" w:lineRule="auto"/>
        <w:rPr>
          <w:rFonts w:ascii="Verdana" w:hAnsi="Verdana"/>
        </w:rPr>
      </w:pPr>
    </w:p>
    <w:p w:rsidR="008E0628" w:rsidRPr="008E0628" w:rsidRDefault="008E0628" w:rsidP="008E0628">
      <w:pPr>
        <w:numPr>
          <w:ilvl w:val="0"/>
          <w:numId w:val="5"/>
        </w:numPr>
        <w:suppressAutoHyphens/>
        <w:spacing w:after="0" w:line="240" w:lineRule="auto"/>
        <w:jc w:val="both"/>
        <w:rPr>
          <w:rFonts w:ascii="Verdana" w:hAnsi="Verdana" w:cs="Arial"/>
        </w:rPr>
      </w:pPr>
      <w:r w:rsidRPr="008E0628">
        <w:rPr>
          <w:rFonts w:ascii="Verdana" w:hAnsi="Verdana" w:cs="Arial"/>
          <w:i/>
        </w:rPr>
        <w:lastRenderedPageBreak/>
        <w:t xml:space="preserve">Distribución sectorial: </w:t>
      </w:r>
      <w:r w:rsidRPr="008E0628">
        <w:rPr>
          <w:rFonts w:ascii="Verdana" w:hAnsi="Verdana" w:cs="Arial"/>
        </w:rPr>
        <w:t>si bien se mantienen en el sector público las dos características  anteriores (mayoría</w:t>
      </w:r>
      <w:r w:rsidRPr="008E0628">
        <w:rPr>
          <w:rFonts w:ascii="Verdana" w:hAnsi="Verdana"/>
        </w:rPr>
        <w:t xml:space="preserve"> de CCOO y prevalencia de los sindicatos de clase), se registra una presencia importante de los sindicatos corporativos (22,4% del total de representantes elegidos/as</w:t>
      </w:r>
      <w:r w:rsidRPr="008E0628">
        <w:rPr>
          <w:rFonts w:ascii="Verdana" w:hAnsi="Verdana" w:cs="Arial"/>
        </w:rPr>
        <w:t xml:space="preserve"> por los funcionarios/as) y de otras opciones minoritarias (23,4%).</w:t>
      </w:r>
    </w:p>
    <w:p w:rsidR="008E0628" w:rsidRPr="008E0628" w:rsidRDefault="008E0628" w:rsidP="008E0628">
      <w:pPr>
        <w:suppressAutoHyphens/>
        <w:spacing w:after="0" w:line="240" w:lineRule="auto"/>
        <w:ind w:left="360"/>
        <w:jc w:val="both"/>
        <w:rPr>
          <w:rFonts w:ascii="Verdana" w:hAnsi="Verdana" w:cs="Arial"/>
        </w:rPr>
      </w:pPr>
      <w:r w:rsidRPr="008E0628">
        <w:rPr>
          <w:rFonts w:ascii="Verdana" w:hAnsi="Verdana" w:cs="Arial"/>
        </w:rPr>
        <w:t>Con todo, los datos oficiales desmienten el tópico ampliamente difundido que define a CSIF como la opción mayoritaria entre los funcionarios, cuando apenas representa el 17% de los delegados elegidos en dicho ámbito, lo que le sitúa como la tercera fuerza, tras CCOO y UGT.</w:t>
      </w:r>
    </w:p>
    <w:p w:rsidR="008E0628" w:rsidRPr="008E0628" w:rsidRDefault="008E0628" w:rsidP="008E0628">
      <w:pPr>
        <w:spacing w:after="0" w:line="240" w:lineRule="auto"/>
        <w:rPr>
          <w:rFonts w:ascii="Verdana" w:hAnsi="Verdana"/>
        </w:rPr>
      </w:pPr>
    </w:p>
    <w:p w:rsidR="008E0628" w:rsidRDefault="008E0628" w:rsidP="008E0628">
      <w:pPr>
        <w:spacing w:after="0" w:line="240" w:lineRule="auto"/>
        <w:jc w:val="center"/>
        <w:rPr>
          <w:rFonts w:ascii="Verdana" w:hAnsi="Verdana"/>
        </w:rPr>
      </w:pPr>
      <w:r>
        <w:rPr>
          <w:rFonts w:ascii="Verdana" w:hAnsi="Verdana"/>
        </w:rPr>
        <w:t>Tabla 3</w:t>
      </w:r>
      <w:r w:rsidRPr="008E0628">
        <w:rPr>
          <w:rFonts w:ascii="Verdana" w:hAnsi="Verdana"/>
        </w:rPr>
        <w:t>.3. Distribución de la representación según sector y tipo de sindicato, a 31-12-2012</w:t>
      </w:r>
    </w:p>
    <w:p w:rsidR="008E0628" w:rsidRPr="008E0628" w:rsidRDefault="008E0628" w:rsidP="008E0628">
      <w:pPr>
        <w:spacing w:after="0" w:line="240" w:lineRule="auto"/>
        <w:jc w:val="center"/>
        <w:rPr>
          <w:rFonts w:ascii="Verdana" w:hAnsi="Verdana"/>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235"/>
        <w:gridCol w:w="1624"/>
        <w:gridCol w:w="1475"/>
        <w:gridCol w:w="1016"/>
      </w:tblGrid>
      <w:tr w:rsidR="008E0628" w:rsidRPr="008E0628" w:rsidTr="00111BCB">
        <w:trPr>
          <w:jc w:val="center"/>
        </w:trPr>
        <w:tc>
          <w:tcPr>
            <w:tcW w:w="2235" w:type="dxa"/>
            <w:tcBorders>
              <w:top w:val="double" w:sz="4" w:space="0" w:color="auto"/>
              <w:left w:val="double" w:sz="4" w:space="0" w:color="auto"/>
              <w:bottom w:val="single" w:sz="4" w:space="0" w:color="000000"/>
              <w:right w:val="single" w:sz="4" w:space="0" w:color="000000"/>
            </w:tcBorders>
          </w:tcPr>
          <w:p w:rsidR="008E0628" w:rsidRPr="008E0628" w:rsidRDefault="008E0628" w:rsidP="008E0628">
            <w:pPr>
              <w:snapToGrid w:val="0"/>
              <w:spacing w:after="0" w:line="240" w:lineRule="auto"/>
              <w:rPr>
                <w:rFonts w:ascii="Verdana" w:hAnsi="Verdana"/>
                <w:sz w:val="20"/>
                <w:szCs w:val="20"/>
              </w:rPr>
            </w:pPr>
          </w:p>
        </w:tc>
        <w:tc>
          <w:tcPr>
            <w:tcW w:w="1624" w:type="dxa"/>
            <w:tcBorders>
              <w:top w:val="double" w:sz="4" w:space="0" w:color="auto"/>
              <w:left w:val="single" w:sz="4" w:space="0" w:color="000000"/>
              <w:bottom w:val="single" w:sz="4" w:space="0" w:color="000000"/>
              <w:right w:val="single" w:sz="4" w:space="0" w:color="000000"/>
            </w:tcBorders>
          </w:tcPr>
          <w:p w:rsidR="008E0628" w:rsidRPr="008E0628" w:rsidRDefault="008E0628" w:rsidP="008E0628">
            <w:pPr>
              <w:snapToGrid w:val="0"/>
              <w:spacing w:after="0" w:line="240" w:lineRule="auto"/>
              <w:jc w:val="center"/>
              <w:rPr>
                <w:rFonts w:ascii="Verdana" w:hAnsi="Verdana"/>
                <w:b/>
                <w:sz w:val="20"/>
                <w:szCs w:val="20"/>
                <w:lang w:val="en-US"/>
              </w:rPr>
            </w:pPr>
            <w:r w:rsidRPr="008E0628">
              <w:rPr>
                <w:rFonts w:ascii="Verdana" w:hAnsi="Verdana"/>
                <w:b/>
                <w:sz w:val="20"/>
                <w:szCs w:val="20"/>
                <w:lang w:val="en-US"/>
              </w:rPr>
              <w:t xml:space="preserve">Sector </w:t>
            </w:r>
            <w:proofErr w:type="spellStart"/>
            <w:r w:rsidRPr="008E0628">
              <w:rPr>
                <w:rFonts w:ascii="Verdana" w:hAnsi="Verdana"/>
                <w:b/>
                <w:sz w:val="20"/>
                <w:szCs w:val="20"/>
                <w:lang w:val="en-US"/>
              </w:rPr>
              <w:t>privado</w:t>
            </w:r>
            <w:proofErr w:type="spellEnd"/>
            <w:r w:rsidRPr="008E0628">
              <w:rPr>
                <w:rFonts w:ascii="Verdana" w:hAnsi="Verdana"/>
                <w:b/>
                <w:sz w:val="20"/>
                <w:szCs w:val="20"/>
                <w:lang w:val="en-US"/>
              </w:rPr>
              <w:t>*</w:t>
            </w:r>
          </w:p>
        </w:tc>
        <w:tc>
          <w:tcPr>
            <w:tcW w:w="1475" w:type="dxa"/>
            <w:tcBorders>
              <w:top w:val="double" w:sz="4" w:space="0" w:color="auto"/>
              <w:left w:val="single" w:sz="4" w:space="0" w:color="000000"/>
              <w:bottom w:val="single" w:sz="4" w:space="0" w:color="000000"/>
              <w:right w:val="single" w:sz="4" w:space="0" w:color="000000"/>
            </w:tcBorders>
          </w:tcPr>
          <w:p w:rsidR="008E0628" w:rsidRPr="008E0628" w:rsidRDefault="008E0628" w:rsidP="008E0628">
            <w:pPr>
              <w:snapToGrid w:val="0"/>
              <w:spacing w:after="0" w:line="240" w:lineRule="auto"/>
              <w:jc w:val="center"/>
              <w:rPr>
                <w:rFonts w:ascii="Verdana" w:hAnsi="Verdana"/>
                <w:b/>
                <w:sz w:val="20"/>
                <w:szCs w:val="20"/>
                <w:lang w:val="en-US"/>
              </w:rPr>
            </w:pPr>
            <w:proofErr w:type="spellStart"/>
            <w:r w:rsidRPr="008E0628">
              <w:rPr>
                <w:rFonts w:ascii="Verdana" w:hAnsi="Verdana"/>
                <w:b/>
                <w:sz w:val="20"/>
                <w:szCs w:val="20"/>
                <w:lang w:val="en-US"/>
              </w:rPr>
              <w:t>Funcionarios</w:t>
            </w:r>
            <w:proofErr w:type="spellEnd"/>
          </w:p>
        </w:tc>
        <w:tc>
          <w:tcPr>
            <w:tcW w:w="1016" w:type="dxa"/>
            <w:tcBorders>
              <w:top w:val="double" w:sz="4" w:space="0" w:color="auto"/>
              <w:left w:val="single" w:sz="4" w:space="0" w:color="000000"/>
              <w:bottom w:val="single" w:sz="4" w:space="0" w:color="000000"/>
              <w:right w:val="double" w:sz="4" w:space="0" w:color="auto"/>
            </w:tcBorders>
          </w:tcPr>
          <w:p w:rsidR="008E0628" w:rsidRPr="008E0628" w:rsidRDefault="008E0628" w:rsidP="008E0628">
            <w:pPr>
              <w:snapToGrid w:val="0"/>
              <w:spacing w:after="0" w:line="240" w:lineRule="auto"/>
              <w:jc w:val="center"/>
              <w:rPr>
                <w:rFonts w:ascii="Verdana" w:hAnsi="Verdana"/>
                <w:b/>
                <w:sz w:val="20"/>
                <w:szCs w:val="20"/>
                <w:lang w:val="en-US"/>
              </w:rPr>
            </w:pPr>
            <w:r w:rsidRPr="008E0628">
              <w:rPr>
                <w:rFonts w:ascii="Verdana" w:hAnsi="Verdana"/>
                <w:b/>
                <w:sz w:val="20"/>
                <w:szCs w:val="20"/>
                <w:lang w:val="en-US"/>
              </w:rPr>
              <w:t>Total</w:t>
            </w:r>
          </w:p>
        </w:tc>
      </w:tr>
      <w:tr w:rsidR="008E0628" w:rsidRPr="008E0628" w:rsidTr="00111BCB">
        <w:trPr>
          <w:jc w:val="center"/>
        </w:trPr>
        <w:tc>
          <w:tcPr>
            <w:tcW w:w="2235" w:type="dxa"/>
            <w:tcBorders>
              <w:top w:val="single" w:sz="4" w:space="0" w:color="000000"/>
              <w:left w:val="double" w:sz="4" w:space="0" w:color="auto"/>
              <w:bottom w:val="nil"/>
              <w:right w:val="single" w:sz="4" w:space="0" w:color="000000"/>
            </w:tcBorders>
          </w:tcPr>
          <w:p w:rsidR="008E0628" w:rsidRPr="008E0628" w:rsidRDefault="008E0628" w:rsidP="008E0628">
            <w:pPr>
              <w:snapToGrid w:val="0"/>
              <w:spacing w:after="0" w:line="240" w:lineRule="auto"/>
              <w:rPr>
                <w:rFonts w:ascii="Verdana" w:hAnsi="Verdana"/>
                <w:sz w:val="20"/>
                <w:szCs w:val="20"/>
                <w:lang w:val="en-US"/>
              </w:rPr>
            </w:pPr>
            <w:r w:rsidRPr="008E0628">
              <w:rPr>
                <w:rFonts w:ascii="Verdana" w:hAnsi="Verdana"/>
                <w:sz w:val="20"/>
                <w:szCs w:val="20"/>
                <w:lang w:val="en-US"/>
              </w:rPr>
              <w:t>CCOO</w:t>
            </w:r>
          </w:p>
        </w:tc>
        <w:tc>
          <w:tcPr>
            <w:tcW w:w="1624" w:type="dxa"/>
            <w:tcBorders>
              <w:top w:val="single" w:sz="4" w:space="0" w:color="000000"/>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38,7%</w:t>
            </w:r>
          </w:p>
        </w:tc>
        <w:tc>
          <w:tcPr>
            <w:tcW w:w="1475" w:type="dxa"/>
            <w:tcBorders>
              <w:top w:val="single" w:sz="4" w:space="0" w:color="000000"/>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22,3%</w:t>
            </w:r>
          </w:p>
        </w:tc>
        <w:tc>
          <w:tcPr>
            <w:tcW w:w="1016" w:type="dxa"/>
            <w:tcBorders>
              <w:top w:val="single" w:sz="4" w:space="0" w:color="000000"/>
              <w:left w:val="single" w:sz="4" w:space="0" w:color="000000"/>
              <w:bottom w:val="nil"/>
              <w:right w:val="double" w:sz="4" w:space="0" w:color="auto"/>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37,5%</w:t>
            </w:r>
          </w:p>
        </w:tc>
      </w:tr>
      <w:tr w:rsidR="008E0628" w:rsidRPr="008E0628" w:rsidTr="00111BCB">
        <w:trPr>
          <w:jc w:val="center"/>
        </w:trPr>
        <w:tc>
          <w:tcPr>
            <w:tcW w:w="2235" w:type="dxa"/>
            <w:tcBorders>
              <w:top w:val="nil"/>
              <w:left w:val="double" w:sz="4" w:space="0" w:color="auto"/>
              <w:bottom w:val="nil"/>
              <w:right w:val="single" w:sz="4" w:space="0" w:color="000000"/>
            </w:tcBorders>
          </w:tcPr>
          <w:p w:rsidR="008E0628" w:rsidRPr="008E0628" w:rsidRDefault="008E0628" w:rsidP="008E0628">
            <w:pPr>
              <w:snapToGrid w:val="0"/>
              <w:spacing w:after="0" w:line="240" w:lineRule="auto"/>
              <w:rPr>
                <w:rFonts w:ascii="Verdana" w:hAnsi="Verdana"/>
                <w:sz w:val="20"/>
                <w:szCs w:val="20"/>
                <w:lang w:val="en-US"/>
              </w:rPr>
            </w:pPr>
            <w:r w:rsidRPr="008E0628">
              <w:rPr>
                <w:rFonts w:ascii="Verdana" w:hAnsi="Verdana"/>
                <w:sz w:val="20"/>
                <w:szCs w:val="20"/>
                <w:lang w:val="en-US"/>
              </w:rPr>
              <w:t>UGT</w:t>
            </w:r>
          </w:p>
        </w:tc>
        <w:tc>
          <w:tcPr>
            <w:tcW w:w="1624" w:type="dxa"/>
            <w:tcBorders>
              <w:top w:val="nil"/>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36,6%</w:t>
            </w:r>
          </w:p>
        </w:tc>
        <w:tc>
          <w:tcPr>
            <w:tcW w:w="1475" w:type="dxa"/>
            <w:tcBorders>
              <w:top w:val="nil"/>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19,9%</w:t>
            </w:r>
          </w:p>
        </w:tc>
        <w:tc>
          <w:tcPr>
            <w:tcW w:w="1016" w:type="dxa"/>
            <w:tcBorders>
              <w:top w:val="nil"/>
              <w:left w:val="single" w:sz="4" w:space="0" w:color="000000"/>
              <w:bottom w:val="nil"/>
              <w:right w:val="double" w:sz="4" w:space="0" w:color="auto"/>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35,4%</w:t>
            </w:r>
          </w:p>
        </w:tc>
      </w:tr>
      <w:tr w:rsidR="008E0628" w:rsidRPr="008E0628" w:rsidTr="00111BCB">
        <w:trPr>
          <w:jc w:val="center"/>
        </w:trPr>
        <w:tc>
          <w:tcPr>
            <w:tcW w:w="2235" w:type="dxa"/>
            <w:tcBorders>
              <w:top w:val="nil"/>
              <w:left w:val="double" w:sz="4" w:space="0" w:color="auto"/>
              <w:bottom w:val="nil"/>
              <w:right w:val="single" w:sz="4" w:space="0" w:color="000000"/>
            </w:tcBorders>
          </w:tcPr>
          <w:p w:rsidR="008E0628" w:rsidRPr="008E0628" w:rsidRDefault="008E0628" w:rsidP="008E0628">
            <w:pPr>
              <w:snapToGrid w:val="0"/>
              <w:spacing w:after="0" w:line="240" w:lineRule="auto"/>
              <w:rPr>
                <w:rFonts w:ascii="Verdana" w:hAnsi="Verdana"/>
                <w:sz w:val="20"/>
                <w:szCs w:val="20"/>
                <w:lang w:val="en-US"/>
              </w:rPr>
            </w:pPr>
            <w:proofErr w:type="spellStart"/>
            <w:r w:rsidRPr="008E0628">
              <w:rPr>
                <w:rFonts w:ascii="Verdana" w:hAnsi="Verdana"/>
                <w:sz w:val="20"/>
                <w:szCs w:val="20"/>
                <w:lang w:val="en-US"/>
              </w:rPr>
              <w:t>Sindicatos</w:t>
            </w:r>
            <w:proofErr w:type="spellEnd"/>
            <w:r w:rsidRPr="008E0628">
              <w:rPr>
                <w:rFonts w:ascii="Verdana" w:hAnsi="Verdana"/>
                <w:sz w:val="20"/>
                <w:szCs w:val="20"/>
                <w:lang w:val="en-US"/>
              </w:rPr>
              <w:t xml:space="preserve"> </w:t>
            </w:r>
            <w:proofErr w:type="spellStart"/>
            <w:r w:rsidRPr="008E0628">
              <w:rPr>
                <w:rFonts w:ascii="Verdana" w:hAnsi="Verdana"/>
                <w:sz w:val="20"/>
                <w:szCs w:val="20"/>
                <w:lang w:val="en-US"/>
              </w:rPr>
              <w:t>generales</w:t>
            </w:r>
            <w:proofErr w:type="spellEnd"/>
          </w:p>
        </w:tc>
        <w:tc>
          <w:tcPr>
            <w:tcW w:w="1624" w:type="dxa"/>
            <w:tcBorders>
              <w:top w:val="nil"/>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5,1%</w:t>
            </w:r>
          </w:p>
        </w:tc>
        <w:tc>
          <w:tcPr>
            <w:tcW w:w="1475" w:type="dxa"/>
            <w:tcBorders>
              <w:top w:val="nil"/>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5,5%</w:t>
            </w:r>
          </w:p>
        </w:tc>
        <w:tc>
          <w:tcPr>
            <w:tcW w:w="1016" w:type="dxa"/>
            <w:tcBorders>
              <w:top w:val="nil"/>
              <w:left w:val="single" w:sz="4" w:space="0" w:color="000000"/>
              <w:bottom w:val="nil"/>
              <w:right w:val="double" w:sz="4" w:space="0" w:color="auto"/>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5,2%</w:t>
            </w:r>
          </w:p>
        </w:tc>
      </w:tr>
      <w:tr w:rsidR="008E0628" w:rsidRPr="008E0628" w:rsidTr="00111BCB">
        <w:trPr>
          <w:jc w:val="center"/>
        </w:trPr>
        <w:tc>
          <w:tcPr>
            <w:tcW w:w="2235" w:type="dxa"/>
            <w:tcBorders>
              <w:top w:val="nil"/>
              <w:left w:val="double" w:sz="4" w:space="0" w:color="auto"/>
              <w:bottom w:val="nil"/>
              <w:right w:val="single" w:sz="4" w:space="0" w:color="000000"/>
            </w:tcBorders>
          </w:tcPr>
          <w:p w:rsidR="008E0628" w:rsidRPr="008E0628" w:rsidRDefault="008E0628" w:rsidP="008E0628">
            <w:pPr>
              <w:snapToGrid w:val="0"/>
              <w:spacing w:after="0" w:line="240" w:lineRule="auto"/>
              <w:rPr>
                <w:rFonts w:ascii="Verdana" w:hAnsi="Verdana"/>
                <w:sz w:val="20"/>
                <w:szCs w:val="20"/>
                <w:lang w:val="en-US"/>
              </w:rPr>
            </w:pPr>
            <w:proofErr w:type="spellStart"/>
            <w:r w:rsidRPr="008E0628">
              <w:rPr>
                <w:rFonts w:ascii="Verdana" w:hAnsi="Verdana"/>
                <w:sz w:val="20"/>
                <w:szCs w:val="20"/>
                <w:lang w:val="en-US"/>
              </w:rPr>
              <w:t>Sindicatos</w:t>
            </w:r>
            <w:proofErr w:type="spellEnd"/>
            <w:r w:rsidRPr="008E0628">
              <w:rPr>
                <w:rFonts w:ascii="Verdana" w:hAnsi="Verdana"/>
                <w:sz w:val="20"/>
                <w:szCs w:val="20"/>
                <w:lang w:val="en-US"/>
              </w:rPr>
              <w:t xml:space="preserve"> </w:t>
            </w:r>
            <w:proofErr w:type="spellStart"/>
            <w:r w:rsidRPr="008E0628">
              <w:rPr>
                <w:rFonts w:ascii="Verdana" w:hAnsi="Verdana"/>
                <w:sz w:val="20"/>
                <w:szCs w:val="20"/>
                <w:lang w:val="en-US"/>
              </w:rPr>
              <w:t>nacionalistas</w:t>
            </w:r>
            <w:proofErr w:type="spellEnd"/>
          </w:p>
        </w:tc>
        <w:tc>
          <w:tcPr>
            <w:tcW w:w="1624" w:type="dxa"/>
            <w:tcBorders>
              <w:top w:val="nil"/>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6,0%</w:t>
            </w:r>
          </w:p>
        </w:tc>
        <w:tc>
          <w:tcPr>
            <w:tcW w:w="1475" w:type="dxa"/>
            <w:tcBorders>
              <w:top w:val="nil"/>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5,8%</w:t>
            </w:r>
          </w:p>
        </w:tc>
        <w:tc>
          <w:tcPr>
            <w:tcW w:w="1016" w:type="dxa"/>
            <w:tcBorders>
              <w:top w:val="nil"/>
              <w:left w:val="single" w:sz="4" w:space="0" w:color="000000"/>
              <w:bottom w:val="nil"/>
              <w:right w:val="double" w:sz="4" w:space="0" w:color="auto"/>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6,3%</w:t>
            </w:r>
          </w:p>
        </w:tc>
      </w:tr>
      <w:tr w:rsidR="008E0628" w:rsidRPr="008E0628" w:rsidTr="00111BCB">
        <w:trPr>
          <w:jc w:val="center"/>
        </w:trPr>
        <w:tc>
          <w:tcPr>
            <w:tcW w:w="2235" w:type="dxa"/>
            <w:tcBorders>
              <w:top w:val="nil"/>
              <w:left w:val="double" w:sz="4" w:space="0" w:color="auto"/>
              <w:bottom w:val="nil"/>
              <w:right w:val="single" w:sz="4" w:space="0" w:color="000000"/>
            </w:tcBorders>
          </w:tcPr>
          <w:p w:rsidR="008E0628" w:rsidRPr="008E0628" w:rsidRDefault="008E0628" w:rsidP="008E0628">
            <w:pPr>
              <w:snapToGrid w:val="0"/>
              <w:spacing w:after="0" w:line="240" w:lineRule="auto"/>
              <w:rPr>
                <w:rFonts w:ascii="Verdana" w:hAnsi="Verdana"/>
                <w:sz w:val="20"/>
                <w:szCs w:val="20"/>
                <w:lang w:val="en-US"/>
              </w:rPr>
            </w:pPr>
            <w:proofErr w:type="spellStart"/>
            <w:r w:rsidRPr="008E0628">
              <w:rPr>
                <w:rFonts w:ascii="Verdana" w:hAnsi="Verdana"/>
                <w:sz w:val="20"/>
                <w:szCs w:val="20"/>
                <w:lang w:val="en-US"/>
              </w:rPr>
              <w:t>Sindicatos</w:t>
            </w:r>
            <w:proofErr w:type="spellEnd"/>
            <w:r w:rsidRPr="008E0628">
              <w:rPr>
                <w:rFonts w:ascii="Verdana" w:hAnsi="Verdana"/>
                <w:sz w:val="20"/>
                <w:szCs w:val="20"/>
                <w:lang w:val="en-US"/>
              </w:rPr>
              <w:t xml:space="preserve"> </w:t>
            </w:r>
            <w:proofErr w:type="spellStart"/>
            <w:r w:rsidRPr="008E0628">
              <w:rPr>
                <w:rFonts w:ascii="Verdana" w:hAnsi="Verdana"/>
                <w:sz w:val="20"/>
                <w:szCs w:val="20"/>
                <w:lang w:val="en-US"/>
              </w:rPr>
              <w:t>corporativos</w:t>
            </w:r>
            <w:proofErr w:type="spellEnd"/>
          </w:p>
        </w:tc>
        <w:tc>
          <w:tcPr>
            <w:tcW w:w="1624" w:type="dxa"/>
            <w:tcBorders>
              <w:top w:val="nil"/>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5,3%</w:t>
            </w:r>
          </w:p>
        </w:tc>
        <w:tc>
          <w:tcPr>
            <w:tcW w:w="1475" w:type="dxa"/>
            <w:tcBorders>
              <w:top w:val="nil"/>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22,4%</w:t>
            </w:r>
          </w:p>
        </w:tc>
        <w:tc>
          <w:tcPr>
            <w:tcW w:w="1016" w:type="dxa"/>
            <w:tcBorders>
              <w:top w:val="nil"/>
              <w:left w:val="single" w:sz="4" w:space="0" w:color="000000"/>
              <w:bottom w:val="nil"/>
              <w:right w:val="double" w:sz="4" w:space="0" w:color="auto"/>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6,6%</w:t>
            </w:r>
          </w:p>
        </w:tc>
      </w:tr>
      <w:tr w:rsidR="008E0628" w:rsidRPr="008E0628" w:rsidTr="00111BCB">
        <w:trPr>
          <w:jc w:val="center"/>
        </w:trPr>
        <w:tc>
          <w:tcPr>
            <w:tcW w:w="2235" w:type="dxa"/>
            <w:tcBorders>
              <w:top w:val="nil"/>
              <w:left w:val="double" w:sz="4" w:space="0" w:color="auto"/>
              <w:bottom w:val="nil"/>
              <w:right w:val="single" w:sz="4" w:space="0" w:color="000000"/>
            </w:tcBorders>
          </w:tcPr>
          <w:p w:rsidR="008E0628" w:rsidRPr="008E0628" w:rsidRDefault="008E0628" w:rsidP="008E0628">
            <w:pPr>
              <w:snapToGrid w:val="0"/>
              <w:spacing w:after="0" w:line="240" w:lineRule="auto"/>
              <w:rPr>
                <w:rFonts w:ascii="Verdana" w:hAnsi="Verdana"/>
                <w:sz w:val="20"/>
                <w:szCs w:val="20"/>
                <w:lang w:val="en-US"/>
              </w:rPr>
            </w:pPr>
            <w:proofErr w:type="spellStart"/>
            <w:r w:rsidRPr="008E0628">
              <w:rPr>
                <w:rFonts w:ascii="Verdana" w:hAnsi="Verdana"/>
                <w:sz w:val="20"/>
                <w:szCs w:val="20"/>
                <w:lang w:val="en-US"/>
              </w:rPr>
              <w:t>Otros</w:t>
            </w:r>
            <w:proofErr w:type="spellEnd"/>
          </w:p>
        </w:tc>
        <w:tc>
          <w:tcPr>
            <w:tcW w:w="1624" w:type="dxa"/>
            <w:tcBorders>
              <w:top w:val="nil"/>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5,8%</w:t>
            </w:r>
          </w:p>
        </w:tc>
        <w:tc>
          <w:tcPr>
            <w:tcW w:w="1475" w:type="dxa"/>
            <w:tcBorders>
              <w:top w:val="nil"/>
              <w:left w:val="single" w:sz="4" w:space="0" w:color="000000"/>
              <w:bottom w:val="nil"/>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23,4%</w:t>
            </w:r>
          </w:p>
        </w:tc>
        <w:tc>
          <w:tcPr>
            <w:tcW w:w="1016" w:type="dxa"/>
            <w:tcBorders>
              <w:top w:val="nil"/>
              <w:left w:val="single" w:sz="4" w:space="0" w:color="000000"/>
              <w:bottom w:val="nil"/>
              <w:right w:val="double" w:sz="4" w:space="0" w:color="auto"/>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7,2%</w:t>
            </w:r>
          </w:p>
        </w:tc>
      </w:tr>
      <w:tr w:rsidR="008E0628" w:rsidRPr="008E0628" w:rsidTr="00111BCB">
        <w:trPr>
          <w:jc w:val="center"/>
        </w:trPr>
        <w:tc>
          <w:tcPr>
            <w:tcW w:w="2235" w:type="dxa"/>
            <w:tcBorders>
              <w:top w:val="nil"/>
              <w:left w:val="double" w:sz="4" w:space="0" w:color="auto"/>
              <w:bottom w:val="single" w:sz="4" w:space="0" w:color="000000"/>
              <w:right w:val="single" w:sz="4" w:space="0" w:color="000000"/>
            </w:tcBorders>
          </w:tcPr>
          <w:p w:rsidR="008E0628" w:rsidRPr="008E0628" w:rsidRDefault="008E0628" w:rsidP="008E0628">
            <w:pPr>
              <w:snapToGrid w:val="0"/>
              <w:spacing w:after="0" w:line="240" w:lineRule="auto"/>
              <w:rPr>
                <w:rFonts w:ascii="Verdana" w:hAnsi="Verdana"/>
                <w:sz w:val="20"/>
                <w:szCs w:val="20"/>
                <w:lang w:val="en-US"/>
              </w:rPr>
            </w:pPr>
            <w:r w:rsidRPr="008E0628">
              <w:rPr>
                <w:rFonts w:ascii="Verdana" w:hAnsi="Verdana"/>
                <w:sz w:val="20"/>
                <w:szCs w:val="20"/>
                <w:lang w:val="en-US"/>
              </w:rPr>
              <w:t xml:space="preserve">No </w:t>
            </w:r>
            <w:proofErr w:type="spellStart"/>
            <w:r w:rsidRPr="008E0628">
              <w:rPr>
                <w:rFonts w:ascii="Verdana" w:hAnsi="Verdana"/>
                <w:sz w:val="20"/>
                <w:szCs w:val="20"/>
                <w:lang w:val="en-US"/>
              </w:rPr>
              <w:t>afiliados</w:t>
            </w:r>
            <w:proofErr w:type="spellEnd"/>
          </w:p>
        </w:tc>
        <w:tc>
          <w:tcPr>
            <w:tcW w:w="1624" w:type="dxa"/>
            <w:tcBorders>
              <w:top w:val="nil"/>
              <w:left w:val="single" w:sz="4" w:space="0" w:color="000000"/>
              <w:bottom w:val="single" w:sz="4" w:space="0" w:color="000000"/>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2,3%</w:t>
            </w:r>
          </w:p>
        </w:tc>
        <w:tc>
          <w:tcPr>
            <w:tcW w:w="1475" w:type="dxa"/>
            <w:tcBorders>
              <w:top w:val="nil"/>
              <w:left w:val="single" w:sz="4" w:space="0" w:color="000000"/>
              <w:bottom w:val="single" w:sz="4" w:space="0" w:color="000000"/>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0,9%</w:t>
            </w:r>
          </w:p>
        </w:tc>
        <w:tc>
          <w:tcPr>
            <w:tcW w:w="1016" w:type="dxa"/>
            <w:tcBorders>
              <w:top w:val="nil"/>
              <w:left w:val="single" w:sz="4" w:space="0" w:color="000000"/>
              <w:bottom w:val="single" w:sz="4" w:space="0" w:color="000000"/>
              <w:right w:val="double" w:sz="4" w:space="0" w:color="auto"/>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2,2%</w:t>
            </w:r>
          </w:p>
        </w:tc>
      </w:tr>
      <w:tr w:rsidR="008E0628" w:rsidRPr="008E0628" w:rsidTr="00111BCB">
        <w:trPr>
          <w:jc w:val="center"/>
        </w:trPr>
        <w:tc>
          <w:tcPr>
            <w:tcW w:w="2235" w:type="dxa"/>
            <w:tcBorders>
              <w:top w:val="single" w:sz="4" w:space="0" w:color="000000"/>
              <w:left w:val="double" w:sz="4" w:space="0" w:color="auto"/>
              <w:bottom w:val="double" w:sz="4" w:space="0" w:color="auto"/>
              <w:right w:val="single" w:sz="4" w:space="0" w:color="000000"/>
            </w:tcBorders>
          </w:tcPr>
          <w:p w:rsidR="008E0628" w:rsidRPr="008E0628" w:rsidRDefault="008E0628" w:rsidP="008E0628">
            <w:pPr>
              <w:snapToGrid w:val="0"/>
              <w:spacing w:after="0" w:line="240" w:lineRule="auto"/>
              <w:rPr>
                <w:rFonts w:ascii="Verdana" w:hAnsi="Verdana"/>
                <w:sz w:val="20"/>
                <w:szCs w:val="20"/>
                <w:lang w:val="en-US"/>
              </w:rPr>
            </w:pPr>
            <w:r w:rsidRPr="008E0628">
              <w:rPr>
                <w:rFonts w:ascii="Verdana" w:hAnsi="Verdana"/>
                <w:sz w:val="20"/>
                <w:szCs w:val="20"/>
                <w:lang w:val="en-US"/>
              </w:rPr>
              <w:t>TOTAL</w:t>
            </w:r>
          </w:p>
        </w:tc>
        <w:tc>
          <w:tcPr>
            <w:tcW w:w="1624" w:type="dxa"/>
            <w:tcBorders>
              <w:top w:val="single" w:sz="4" w:space="0" w:color="000000"/>
              <w:left w:val="single" w:sz="4" w:space="0" w:color="000000"/>
              <w:bottom w:val="double" w:sz="4" w:space="0" w:color="auto"/>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100,0%</w:t>
            </w:r>
          </w:p>
        </w:tc>
        <w:tc>
          <w:tcPr>
            <w:tcW w:w="1475" w:type="dxa"/>
            <w:tcBorders>
              <w:top w:val="single" w:sz="4" w:space="0" w:color="000000"/>
              <w:left w:val="single" w:sz="4" w:space="0" w:color="000000"/>
              <w:bottom w:val="double" w:sz="4" w:space="0" w:color="auto"/>
              <w:right w:val="single" w:sz="4" w:space="0" w:color="000000"/>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100,0%</w:t>
            </w:r>
          </w:p>
        </w:tc>
        <w:tc>
          <w:tcPr>
            <w:tcW w:w="1016" w:type="dxa"/>
            <w:tcBorders>
              <w:top w:val="single" w:sz="4" w:space="0" w:color="000000"/>
              <w:left w:val="single" w:sz="4" w:space="0" w:color="000000"/>
              <w:bottom w:val="double" w:sz="4" w:space="0" w:color="auto"/>
              <w:right w:val="double" w:sz="4" w:space="0" w:color="auto"/>
            </w:tcBorders>
          </w:tcPr>
          <w:p w:rsidR="008E0628" w:rsidRPr="008E0628" w:rsidRDefault="008E0628" w:rsidP="008E0628">
            <w:pPr>
              <w:snapToGrid w:val="0"/>
              <w:spacing w:after="0" w:line="240" w:lineRule="auto"/>
              <w:jc w:val="center"/>
              <w:rPr>
                <w:rFonts w:ascii="Verdana" w:hAnsi="Verdana"/>
                <w:sz w:val="20"/>
                <w:szCs w:val="20"/>
                <w:lang w:val="en-US"/>
              </w:rPr>
            </w:pPr>
            <w:r w:rsidRPr="008E0628">
              <w:rPr>
                <w:rFonts w:ascii="Verdana" w:hAnsi="Verdana"/>
                <w:sz w:val="20"/>
                <w:szCs w:val="20"/>
                <w:lang w:val="en-US"/>
              </w:rPr>
              <w:t>100,0%</w:t>
            </w:r>
          </w:p>
        </w:tc>
      </w:tr>
    </w:tbl>
    <w:p w:rsidR="008E0628" w:rsidRPr="008E0628" w:rsidRDefault="008E0628" w:rsidP="008E0628">
      <w:pPr>
        <w:keepNext/>
        <w:keepLines/>
        <w:spacing w:after="0" w:line="240" w:lineRule="auto"/>
        <w:jc w:val="center"/>
        <w:rPr>
          <w:rFonts w:ascii="Verdana" w:hAnsi="Verdana"/>
          <w:sz w:val="20"/>
          <w:szCs w:val="20"/>
        </w:rPr>
      </w:pPr>
      <w:r w:rsidRPr="008E0628">
        <w:rPr>
          <w:rFonts w:ascii="Verdana" w:hAnsi="Verdana"/>
          <w:sz w:val="20"/>
          <w:szCs w:val="20"/>
        </w:rPr>
        <w:t>Nota: * sector privado y personal laboral de las administraciones públicas</w:t>
      </w:r>
    </w:p>
    <w:p w:rsidR="008E0628" w:rsidRPr="008E0628" w:rsidRDefault="008E0628" w:rsidP="008E0628">
      <w:pPr>
        <w:spacing w:after="0" w:line="240" w:lineRule="auto"/>
        <w:jc w:val="center"/>
        <w:rPr>
          <w:rFonts w:ascii="Verdana" w:hAnsi="Verdana"/>
          <w:sz w:val="20"/>
          <w:szCs w:val="20"/>
        </w:rPr>
      </w:pPr>
      <w:r w:rsidRPr="008E0628">
        <w:rPr>
          <w:rFonts w:ascii="Verdana" w:hAnsi="Verdana"/>
          <w:sz w:val="20"/>
          <w:szCs w:val="20"/>
        </w:rPr>
        <w:t>Fuente: Ministerio de Empleo</w:t>
      </w:r>
    </w:p>
    <w:p w:rsidR="008E0628" w:rsidRPr="008E0628" w:rsidRDefault="008E0628" w:rsidP="008E0628">
      <w:pPr>
        <w:spacing w:after="0" w:line="240" w:lineRule="auto"/>
        <w:rPr>
          <w:rFonts w:ascii="Verdana" w:hAnsi="Verdana"/>
        </w:rPr>
      </w:pPr>
    </w:p>
    <w:p w:rsidR="008E0628" w:rsidRPr="008E0628" w:rsidRDefault="008E0628" w:rsidP="008E0628">
      <w:pPr>
        <w:numPr>
          <w:ilvl w:val="0"/>
          <w:numId w:val="5"/>
        </w:numPr>
        <w:suppressAutoHyphens/>
        <w:spacing w:after="0" w:line="240" w:lineRule="auto"/>
        <w:jc w:val="both"/>
        <w:rPr>
          <w:rFonts w:ascii="Verdana" w:hAnsi="Verdana" w:cs="Arial"/>
        </w:rPr>
      </w:pPr>
      <w:r w:rsidRPr="008E0628">
        <w:rPr>
          <w:rFonts w:ascii="Verdana" w:hAnsi="Verdana" w:cs="Arial"/>
          <w:i/>
        </w:rPr>
        <w:t xml:space="preserve">Distribución territorial: </w:t>
      </w:r>
      <w:r w:rsidRPr="008E0628">
        <w:rPr>
          <w:rFonts w:ascii="Verdana" w:hAnsi="Verdana" w:cs="Arial"/>
        </w:rPr>
        <w:t xml:space="preserve">sobre el total general UGT resulta la fuerza mayoritaria en once comunidades autónomas (Andalucía, Aragón, Asturias, Baleares, Cantabria, Extremadura, Galicia, Murcia, Navarra, La Rioja y Ceuta-Melilla), mientras que CCOO lo es en seis (Canarias, las dos </w:t>
      </w:r>
      <w:r w:rsidRPr="008E0628">
        <w:rPr>
          <w:rFonts w:ascii="Verdana" w:hAnsi="Verdana"/>
        </w:rPr>
        <w:t>Castillas, Cataluña, Madrid y el País Valenciano) y ELA–STV en el País Vasco, lo que le confiere la condición de “más representativa” en dicha Comunidad, así como en la de Navarra, mientras que LAB sólo supera el 15% en el País Vasco. Por su parte, el sindicato nacionalista gallego (CIG) aparece como tercera fuerza sindical en su Comunidad y consolida su status representativo en dicho ámbito. Dicha distribución resulta más heterogénea en el sector</w:t>
      </w:r>
      <w:r w:rsidRPr="008E0628">
        <w:rPr>
          <w:rFonts w:ascii="Verdana" w:hAnsi="Verdana" w:cs="Arial"/>
        </w:rPr>
        <w:t xml:space="preserve"> público, en el que CSIF es la opción mayoritaria en 6 comunidades (Andalucía, Aragón, las dos Castillas, Extremadura y La Rioja), CCOO en 5 (Asturias, Canarias, Cataluña, Madrid y Murcia), UGT en 4 (Baleares, Cantabria, País Valenciano y Ceuta-Melilla), y las opciones nacionalistas en Galicia (CIG), Navarra (LAB) y País Vasco (ELA).</w:t>
      </w:r>
    </w:p>
    <w:p w:rsidR="008E0628" w:rsidRPr="008E0628" w:rsidRDefault="008E0628" w:rsidP="008E0628">
      <w:pPr>
        <w:spacing w:after="0" w:line="240" w:lineRule="auto"/>
        <w:rPr>
          <w:rFonts w:ascii="Verdana" w:hAnsi="Verdana"/>
        </w:rPr>
      </w:pPr>
    </w:p>
    <w:p w:rsidR="008E0628" w:rsidRPr="008E0628" w:rsidRDefault="008E0628" w:rsidP="008E0628">
      <w:pPr>
        <w:keepNext/>
        <w:keepLines/>
        <w:spacing w:after="0" w:line="240" w:lineRule="auto"/>
        <w:jc w:val="center"/>
      </w:pPr>
      <w:r>
        <w:rPr>
          <w:rFonts w:ascii="Verdana" w:hAnsi="Verdana"/>
        </w:rPr>
        <w:lastRenderedPageBreak/>
        <w:t>Tabla 3</w:t>
      </w:r>
      <w:r w:rsidRPr="008E0628">
        <w:rPr>
          <w:rFonts w:ascii="Verdana" w:hAnsi="Verdana"/>
        </w:rPr>
        <w:t xml:space="preserve">.4. Representación sindical total (sector privado y público) en 2012, </w:t>
      </w:r>
      <w:r w:rsidRPr="008E0628">
        <w:t>por CCAA. Distribución en %</w:t>
      </w:r>
    </w:p>
    <w:p w:rsidR="008E0628" w:rsidRPr="008E0628" w:rsidRDefault="008E0628" w:rsidP="008E0628">
      <w:pPr>
        <w:keepNext/>
        <w:keepLines/>
        <w:spacing w:after="0" w:line="240" w:lineRule="auto"/>
        <w:jc w:val="center"/>
      </w:pPr>
    </w:p>
    <w:tbl>
      <w:tblPr>
        <w:tblW w:w="8730" w:type="dxa"/>
        <w:tblInd w:w="-5" w:type="dxa"/>
        <w:tblLayout w:type="fixed"/>
        <w:tblLook w:val="04A0" w:firstRow="1" w:lastRow="0" w:firstColumn="1" w:lastColumn="0" w:noHBand="0" w:noVBand="1"/>
      </w:tblPr>
      <w:tblGrid>
        <w:gridCol w:w="1346"/>
        <w:gridCol w:w="885"/>
        <w:gridCol w:w="868"/>
        <w:gridCol w:w="721"/>
        <w:gridCol w:w="1019"/>
        <w:gridCol w:w="1251"/>
        <w:gridCol w:w="1038"/>
        <w:gridCol w:w="824"/>
        <w:gridCol w:w="778"/>
      </w:tblGrid>
      <w:tr w:rsidR="008E0628" w:rsidRPr="008E0628" w:rsidTr="00111BCB">
        <w:tc>
          <w:tcPr>
            <w:tcW w:w="1346"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rPr>
                <w:sz w:val="20"/>
                <w:szCs w:val="20"/>
                <w:lang w:val="en-US"/>
              </w:rPr>
            </w:pPr>
          </w:p>
        </w:tc>
        <w:tc>
          <w:tcPr>
            <w:tcW w:w="885"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rPr>
                <w:b/>
                <w:sz w:val="20"/>
                <w:szCs w:val="20"/>
                <w:lang w:val="en-US"/>
              </w:rPr>
            </w:pPr>
            <w:r w:rsidRPr="008E0628">
              <w:rPr>
                <w:b/>
                <w:sz w:val="20"/>
                <w:szCs w:val="20"/>
                <w:lang w:val="en-US"/>
              </w:rPr>
              <w:t>TOTAL</w:t>
            </w:r>
          </w:p>
        </w:tc>
        <w:tc>
          <w:tcPr>
            <w:tcW w:w="868"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r w:rsidRPr="008E0628">
              <w:rPr>
                <w:b/>
                <w:sz w:val="20"/>
                <w:szCs w:val="20"/>
                <w:lang w:val="en-US"/>
              </w:rPr>
              <w:t>CCOO</w:t>
            </w:r>
          </w:p>
        </w:tc>
        <w:tc>
          <w:tcPr>
            <w:tcW w:w="721"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r w:rsidRPr="008E0628">
              <w:rPr>
                <w:b/>
                <w:sz w:val="20"/>
                <w:szCs w:val="20"/>
                <w:lang w:val="en-US"/>
              </w:rPr>
              <w:t>UGT</w:t>
            </w:r>
          </w:p>
        </w:tc>
        <w:tc>
          <w:tcPr>
            <w:tcW w:w="1019"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r w:rsidRPr="008E0628">
              <w:rPr>
                <w:b/>
                <w:sz w:val="20"/>
                <w:szCs w:val="20"/>
                <w:lang w:val="en-US"/>
              </w:rPr>
              <w:t>General.</w:t>
            </w:r>
          </w:p>
        </w:tc>
        <w:tc>
          <w:tcPr>
            <w:tcW w:w="1251"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proofErr w:type="spellStart"/>
            <w:r w:rsidRPr="008E0628">
              <w:rPr>
                <w:b/>
                <w:sz w:val="20"/>
                <w:szCs w:val="20"/>
                <w:lang w:val="en-US"/>
              </w:rPr>
              <w:t>Nacionalist</w:t>
            </w:r>
            <w:proofErr w:type="spellEnd"/>
            <w:r w:rsidRPr="008E0628">
              <w:rPr>
                <w:b/>
                <w:sz w:val="20"/>
                <w:szCs w:val="20"/>
                <w:lang w:val="en-US"/>
              </w:rPr>
              <w:t>.</w:t>
            </w:r>
          </w:p>
        </w:tc>
        <w:tc>
          <w:tcPr>
            <w:tcW w:w="1038"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proofErr w:type="spellStart"/>
            <w:r w:rsidRPr="008E0628">
              <w:rPr>
                <w:b/>
                <w:sz w:val="20"/>
                <w:szCs w:val="20"/>
                <w:lang w:val="en-US"/>
              </w:rPr>
              <w:t>Corporat</w:t>
            </w:r>
            <w:proofErr w:type="spellEnd"/>
            <w:r w:rsidRPr="008E0628">
              <w:rPr>
                <w:b/>
                <w:sz w:val="20"/>
                <w:szCs w:val="20"/>
                <w:lang w:val="en-US"/>
              </w:rPr>
              <w:t>.</w:t>
            </w:r>
          </w:p>
        </w:tc>
        <w:tc>
          <w:tcPr>
            <w:tcW w:w="824"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proofErr w:type="spellStart"/>
            <w:r w:rsidRPr="008E0628">
              <w:rPr>
                <w:b/>
                <w:sz w:val="20"/>
                <w:szCs w:val="20"/>
                <w:lang w:val="en-US"/>
              </w:rPr>
              <w:t>Otros</w:t>
            </w:r>
            <w:proofErr w:type="spellEnd"/>
          </w:p>
        </w:tc>
        <w:tc>
          <w:tcPr>
            <w:tcW w:w="778" w:type="dxa"/>
            <w:tcBorders>
              <w:top w:val="single" w:sz="4" w:space="0" w:color="000000"/>
              <w:left w:val="single" w:sz="4" w:space="0" w:color="000000"/>
              <w:bottom w:val="single" w:sz="4" w:space="0" w:color="000000"/>
              <w:right w:val="single" w:sz="4" w:space="0" w:color="000000"/>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r w:rsidRPr="008E0628">
              <w:rPr>
                <w:b/>
                <w:sz w:val="20"/>
                <w:szCs w:val="20"/>
                <w:lang w:val="en-US"/>
              </w:rPr>
              <w:t xml:space="preserve">No </w:t>
            </w:r>
            <w:proofErr w:type="spellStart"/>
            <w:r w:rsidRPr="008E0628">
              <w:rPr>
                <w:b/>
                <w:sz w:val="20"/>
                <w:szCs w:val="20"/>
                <w:lang w:val="en-US"/>
              </w:rPr>
              <w:t>Af</w:t>
            </w:r>
            <w:proofErr w:type="spellEnd"/>
            <w:r w:rsidRPr="008E0628">
              <w:rPr>
                <w:b/>
                <w:sz w:val="20"/>
                <w:szCs w:val="20"/>
                <w:lang w:val="en-US"/>
              </w:rPr>
              <w:t>.</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Andalucía</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41.679</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38,1</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39,6</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3,6</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9,6</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8,9</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2,2</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Aragón</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10.848</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38,1</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40,7</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2,9</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8,6</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8,1</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1,6</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smartTag w:uri="urn:schemas-microsoft-com:office:smarttags" w:element="country-region">
              <w:smartTag w:uri="urn:schemas-microsoft-com:office:smarttags" w:element="place">
                <w:r w:rsidRPr="008E0628">
                  <w:rPr>
                    <w:sz w:val="20"/>
                    <w:szCs w:val="20"/>
                    <w:lang w:val="en-US"/>
                  </w:rPr>
                  <w:t>Asturias</w:t>
                </w:r>
              </w:smartTag>
            </w:smartTag>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7.183</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35,9</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39,1</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7,8</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5,8</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10,0</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1,4</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Baleares</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7.315</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32,1</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38,3</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11,8</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5,9</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10,1</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2,0</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 xml:space="preserve">Canarias </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13.042</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41,4</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30,0</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4,6</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8,1</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3,8</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10,8</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1,4</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Cantabria</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4.540</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33,5</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40,2</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9,5</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9,2</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6,2</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1,5</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proofErr w:type="spellStart"/>
            <w:r w:rsidRPr="008E0628">
              <w:rPr>
                <w:sz w:val="20"/>
                <w:szCs w:val="20"/>
                <w:lang w:val="en-US"/>
              </w:rPr>
              <w:t>Castilla</w:t>
            </w:r>
            <w:proofErr w:type="spellEnd"/>
            <w:r w:rsidRPr="008E0628">
              <w:rPr>
                <w:sz w:val="20"/>
                <w:szCs w:val="20"/>
                <w:lang w:val="en-US"/>
              </w:rPr>
              <w:t>-M</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10.946</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44,8</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33,6</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3,8</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11,4</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5,3</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1,1</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Castilla-León</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17.152</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39,3</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35,9</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6,2</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10,8</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6,1</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1,7</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Cataluña</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56.185</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42,4</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40,8</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6,6</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2,0</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5,6</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2,6</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Extremadura</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5.470</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36,9</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38,5</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3,7</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14,6</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5,3</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0,9</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smartTag w:uri="urn:schemas-microsoft-com:office:smarttags" w:element="country-region">
              <w:smartTag w:uri="urn:schemas-microsoft-com:office:smarttags" w:element="place">
                <w:r w:rsidRPr="008E0628">
                  <w:rPr>
                    <w:sz w:val="20"/>
                    <w:szCs w:val="20"/>
                    <w:lang w:val="en-US"/>
                  </w:rPr>
                  <w:t>Galicia</w:t>
                </w:r>
              </w:smartTag>
            </w:smartTag>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18.473</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29,0</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30,2</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2,7</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26,7</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5,7</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3,9</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smartTag w:uri="urn:schemas-microsoft-com:office:smarttags" w:element="State">
              <w:smartTag w:uri="urn:schemas-microsoft-com:office:smarttags" w:element="place">
                <w:r w:rsidRPr="008E0628">
                  <w:rPr>
                    <w:sz w:val="20"/>
                    <w:szCs w:val="20"/>
                    <w:lang w:val="en-US"/>
                  </w:rPr>
                  <w:t>Madrid</w:t>
                </w:r>
              </w:smartTag>
            </w:smartTag>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40.717</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40,3</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32,8</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7,0</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8,1</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8,6</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3,2</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smartTag w:uri="urn:schemas-microsoft-com:office:smarttags" w:element="country-region">
              <w:smartTag w:uri="urn:schemas-microsoft-com:office:smarttags" w:element="place">
                <w:r w:rsidRPr="008E0628">
                  <w:rPr>
                    <w:sz w:val="20"/>
                    <w:szCs w:val="20"/>
                    <w:lang w:val="en-US"/>
                  </w:rPr>
                  <w:t>Murcia</w:t>
                </w:r>
              </w:smartTag>
            </w:smartTag>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8.341</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37,4</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39,7</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5,7</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8,5</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6,4</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2,2</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Navarra</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6.441</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25,4</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29,3</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1,1</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34,2</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2,7</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4,8</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2,6</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 xml:space="preserve">P. </w:t>
            </w:r>
            <w:proofErr w:type="spellStart"/>
            <w:r w:rsidRPr="008E0628">
              <w:rPr>
                <w:sz w:val="20"/>
                <w:szCs w:val="20"/>
                <w:lang w:val="en-US"/>
              </w:rPr>
              <w:t>Valenciano</w:t>
            </w:r>
            <w:proofErr w:type="spellEnd"/>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31.803</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39,8</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38,0</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4,5</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8,0</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8,2</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1,4</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País Vasco</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19.392</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19,7</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12,4</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2,3</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57,1</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0,3</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5,0</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3,1</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Rioja</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2.918</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30,3</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41,8</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13,6</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10,7</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2,8</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1,2</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Ceuta-Melilla</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1.177</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41,7</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42,2</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3,5</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8,5</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3,7</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0,4</w:t>
            </w:r>
          </w:p>
        </w:tc>
      </w:tr>
      <w:tr w:rsidR="008E0628" w:rsidRPr="008E0628" w:rsidTr="00111BCB">
        <w:tc>
          <w:tcPr>
            <w:tcW w:w="134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TOTAL</w:t>
            </w:r>
          </w:p>
        </w:tc>
        <w:tc>
          <w:tcPr>
            <w:tcW w:w="88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303.622</w:t>
            </w:r>
          </w:p>
        </w:tc>
        <w:tc>
          <w:tcPr>
            <w:tcW w:w="86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37,5</w:t>
            </w:r>
          </w:p>
        </w:tc>
        <w:tc>
          <w:tcPr>
            <w:tcW w:w="72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35,4</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5,2</w:t>
            </w:r>
          </w:p>
        </w:tc>
        <w:tc>
          <w:tcPr>
            <w:tcW w:w="1251"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6,3</w:t>
            </w:r>
          </w:p>
        </w:tc>
        <w:tc>
          <w:tcPr>
            <w:tcW w:w="1038"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6,6</w:t>
            </w:r>
          </w:p>
        </w:tc>
        <w:tc>
          <w:tcPr>
            <w:tcW w:w="824"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7,2</w:t>
            </w:r>
          </w:p>
        </w:tc>
        <w:tc>
          <w:tcPr>
            <w:tcW w:w="778"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2,2</w:t>
            </w:r>
          </w:p>
        </w:tc>
      </w:tr>
    </w:tbl>
    <w:p w:rsidR="008E0628" w:rsidRPr="008E0628" w:rsidRDefault="008E0628" w:rsidP="008E0628">
      <w:pPr>
        <w:keepNext/>
        <w:keepLines/>
        <w:spacing w:after="0" w:line="240" w:lineRule="auto"/>
        <w:jc w:val="center"/>
        <w:rPr>
          <w:sz w:val="20"/>
          <w:szCs w:val="20"/>
        </w:rPr>
      </w:pPr>
      <w:r w:rsidRPr="008E0628">
        <w:rPr>
          <w:sz w:val="20"/>
          <w:szCs w:val="20"/>
        </w:rPr>
        <w:t>Fuente: Ministerio de Empleo</w:t>
      </w:r>
    </w:p>
    <w:p w:rsidR="008E0628" w:rsidRPr="008E0628" w:rsidRDefault="008E0628" w:rsidP="008E0628">
      <w:pPr>
        <w:spacing w:after="0" w:line="240" w:lineRule="auto"/>
      </w:pPr>
    </w:p>
    <w:p w:rsidR="008E0628" w:rsidRPr="008E0628" w:rsidRDefault="008E0628" w:rsidP="008E0628">
      <w:pPr>
        <w:keepNext/>
        <w:keepLines/>
        <w:spacing w:after="0" w:line="240" w:lineRule="auto"/>
        <w:jc w:val="center"/>
      </w:pPr>
      <w:r>
        <w:rPr>
          <w:rFonts w:ascii="Verdana" w:hAnsi="Verdana"/>
        </w:rPr>
        <w:t>Tabla 3</w:t>
      </w:r>
      <w:r w:rsidRPr="008E0628">
        <w:rPr>
          <w:rFonts w:ascii="Verdana" w:hAnsi="Verdana"/>
        </w:rPr>
        <w:t>.5.</w:t>
      </w:r>
      <w:r w:rsidRPr="008E0628">
        <w:rPr>
          <w:rFonts w:ascii="Verdana" w:hAnsi="Verdana"/>
          <w:i/>
        </w:rPr>
        <w:t xml:space="preserve"> </w:t>
      </w:r>
      <w:r w:rsidRPr="008E0628">
        <w:rPr>
          <w:rFonts w:ascii="Verdana" w:hAnsi="Verdana"/>
        </w:rPr>
        <w:t xml:space="preserve">Representación </w:t>
      </w:r>
      <w:r w:rsidRPr="008E0628">
        <w:t>sindical en el sector público (funcionarios) en 2012, por CCAA. Distribución en %</w:t>
      </w:r>
    </w:p>
    <w:tbl>
      <w:tblPr>
        <w:tblW w:w="8730" w:type="dxa"/>
        <w:tblLayout w:type="fixed"/>
        <w:tblLook w:val="04A0" w:firstRow="1" w:lastRow="0" w:firstColumn="1" w:lastColumn="0" w:noHBand="0" w:noVBand="1"/>
      </w:tblPr>
      <w:tblGrid>
        <w:gridCol w:w="1355"/>
        <w:gridCol w:w="783"/>
        <w:gridCol w:w="875"/>
        <w:gridCol w:w="736"/>
        <w:gridCol w:w="1019"/>
        <w:gridCol w:w="1263"/>
        <w:gridCol w:w="1045"/>
        <w:gridCol w:w="843"/>
        <w:gridCol w:w="811"/>
      </w:tblGrid>
      <w:tr w:rsidR="008E0628" w:rsidRPr="008E0628" w:rsidTr="00111BCB">
        <w:tc>
          <w:tcPr>
            <w:tcW w:w="1355"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rPr>
                <w:sz w:val="20"/>
                <w:szCs w:val="20"/>
                <w:lang w:val="en-US"/>
              </w:rPr>
            </w:pPr>
          </w:p>
        </w:tc>
        <w:tc>
          <w:tcPr>
            <w:tcW w:w="783"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rPr>
                <w:b/>
                <w:sz w:val="20"/>
                <w:szCs w:val="20"/>
                <w:lang w:val="en-US"/>
              </w:rPr>
            </w:pPr>
            <w:r w:rsidRPr="008E0628">
              <w:rPr>
                <w:b/>
                <w:sz w:val="20"/>
                <w:szCs w:val="20"/>
                <w:lang w:val="en-US"/>
              </w:rPr>
              <w:t>TOTAL</w:t>
            </w:r>
          </w:p>
        </w:tc>
        <w:tc>
          <w:tcPr>
            <w:tcW w:w="875"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r w:rsidRPr="008E0628">
              <w:rPr>
                <w:b/>
                <w:sz w:val="20"/>
                <w:szCs w:val="20"/>
                <w:lang w:val="en-US"/>
              </w:rPr>
              <w:t>CCOO</w:t>
            </w:r>
          </w:p>
        </w:tc>
        <w:tc>
          <w:tcPr>
            <w:tcW w:w="736"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r w:rsidRPr="008E0628">
              <w:rPr>
                <w:b/>
                <w:sz w:val="20"/>
                <w:szCs w:val="20"/>
                <w:lang w:val="en-US"/>
              </w:rPr>
              <w:t>UGT</w:t>
            </w:r>
          </w:p>
        </w:tc>
        <w:tc>
          <w:tcPr>
            <w:tcW w:w="1019"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r w:rsidRPr="008E0628">
              <w:rPr>
                <w:b/>
                <w:sz w:val="20"/>
                <w:szCs w:val="20"/>
                <w:lang w:val="en-US"/>
              </w:rPr>
              <w:t>General.</w:t>
            </w:r>
          </w:p>
        </w:tc>
        <w:tc>
          <w:tcPr>
            <w:tcW w:w="1263"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proofErr w:type="spellStart"/>
            <w:r w:rsidRPr="008E0628">
              <w:rPr>
                <w:b/>
                <w:sz w:val="20"/>
                <w:szCs w:val="20"/>
                <w:lang w:val="en-US"/>
              </w:rPr>
              <w:t>Nacionalist</w:t>
            </w:r>
            <w:proofErr w:type="spellEnd"/>
            <w:r w:rsidRPr="008E0628">
              <w:rPr>
                <w:b/>
                <w:sz w:val="20"/>
                <w:szCs w:val="20"/>
                <w:lang w:val="en-US"/>
              </w:rPr>
              <w:t>.</w:t>
            </w:r>
          </w:p>
        </w:tc>
        <w:tc>
          <w:tcPr>
            <w:tcW w:w="1045"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proofErr w:type="spellStart"/>
            <w:r w:rsidRPr="008E0628">
              <w:rPr>
                <w:b/>
                <w:sz w:val="20"/>
                <w:szCs w:val="20"/>
                <w:lang w:val="en-US"/>
              </w:rPr>
              <w:t>Corporat</w:t>
            </w:r>
            <w:proofErr w:type="spellEnd"/>
            <w:r w:rsidRPr="008E0628">
              <w:rPr>
                <w:b/>
                <w:sz w:val="20"/>
                <w:szCs w:val="20"/>
                <w:lang w:val="en-US"/>
              </w:rPr>
              <w:t>.</w:t>
            </w:r>
          </w:p>
        </w:tc>
        <w:tc>
          <w:tcPr>
            <w:tcW w:w="843" w:type="dxa"/>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proofErr w:type="spellStart"/>
            <w:r w:rsidRPr="008E0628">
              <w:rPr>
                <w:b/>
                <w:sz w:val="20"/>
                <w:szCs w:val="20"/>
                <w:lang w:val="en-US"/>
              </w:rPr>
              <w:t>Otros</w:t>
            </w:r>
            <w:proofErr w:type="spellEnd"/>
          </w:p>
        </w:tc>
        <w:tc>
          <w:tcPr>
            <w:tcW w:w="811" w:type="dxa"/>
            <w:tcBorders>
              <w:top w:val="single" w:sz="4" w:space="0" w:color="000000"/>
              <w:left w:val="single" w:sz="4" w:space="0" w:color="000000"/>
              <w:bottom w:val="single" w:sz="4" w:space="0" w:color="000000"/>
              <w:right w:val="single" w:sz="4" w:space="0" w:color="000000"/>
            </w:tcBorders>
            <w:shd w:val="clear" w:color="auto" w:fill="D9D9D9"/>
          </w:tcPr>
          <w:p w:rsidR="008E0628" w:rsidRPr="008E0628" w:rsidRDefault="008E0628" w:rsidP="008E0628">
            <w:pPr>
              <w:keepNext/>
              <w:keepLines/>
              <w:snapToGrid w:val="0"/>
              <w:spacing w:after="0" w:line="240" w:lineRule="auto"/>
              <w:jc w:val="center"/>
              <w:rPr>
                <w:b/>
                <w:sz w:val="20"/>
                <w:szCs w:val="20"/>
                <w:lang w:val="en-US"/>
              </w:rPr>
            </w:pPr>
            <w:r w:rsidRPr="008E0628">
              <w:rPr>
                <w:b/>
                <w:sz w:val="20"/>
                <w:szCs w:val="20"/>
                <w:lang w:val="en-US"/>
              </w:rPr>
              <w:t xml:space="preserve">No </w:t>
            </w:r>
            <w:proofErr w:type="spellStart"/>
            <w:r w:rsidRPr="008E0628">
              <w:rPr>
                <w:b/>
                <w:sz w:val="20"/>
                <w:szCs w:val="20"/>
                <w:lang w:val="en-US"/>
              </w:rPr>
              <w:t>Af</w:t>
            </w:r>
            <w:proofErr w:type="spellEnd"/>
            <w:r w:rsidRPr="008E0628">
              <w:rPr>
                <w:b/>
                <w:sz w:val="20"/>
                <w:szCs w:val="20"/>
                <w:lang w:val="en-US"/>
              </w:rPr>
              <w:t>.</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Andalucía</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3.770</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17,9</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21,8</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4,4</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30,5</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23,8</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1,8</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Aragón</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851</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24,0</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20,7</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6,7</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35,7</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12,5</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0,5</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smartTag w:uri="urn:schemas-microsoft-com:office:smarttags" w:element="country-region">
              <w:smartTag w:uri="urn:schemas-microsoft-com:office:smarttags" w:element="place">
                <w:r w:rsidRPr="008E0628">
                  <w:rPr>
                    <w:sz w:val="20"/>
                    <w:szCs w:val="20"/>
                    <w:lang w:val="en-US"/>
                  </w:rPr>
                  <w:t>Asturias</w:t>
                </w:r>
              </w:smartTag>
            </w:smartTag>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527</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20,7</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19,0</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3,8</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20,9</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35,5</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0,2</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Baleares</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642</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19,3</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22,4</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5,4</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26,2</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25,7</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0,9</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 xml:space="preserve">Canarias </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898</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21,7</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15,7</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5,9</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11,5</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13,7</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29,9</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1,6</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Cantabria</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336</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19,0</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23,5</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10,1</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24,4</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22,3</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0,6</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proofErr w:type="spellStart"/>
            <w:r w:rsidRPr="008E0628">
              <w:rPr>
                <w:sz w:val="20"/>
                <w:szCs w:val="20"/>
                <w:lang w:val="en-US"/>
              </w:rPr>
              <w:t>Castilla</w:t>
            </w:r>
            <w:proofErr w:type="spellEnd"/>
            <w:r w:rsidRPr="008E0628">
              <w:rPr>
                <w:sz w:val="20"/>
                <w:szCs w:val="20"/>
                <w:lang w:val="en-US"/>
              </w:rPr>
              <w:t>-M</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1.219</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23,5</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14,7</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4,6</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37,0</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20,2</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0,0</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Castilla-León</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1.747</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18,1</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20,1</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9,7</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29,9</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21,9</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0,3</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Cataluña</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2.745</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31,0</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25,2</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6,6</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9,3</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26,6</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1,4</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Extremadura</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739</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19,5</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207</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4,9</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37,3</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17,5</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0,3</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smartTag w:uri="urn:schemas-microsoft-com:office:smarttags" w:element="country-region">
              <w:smartTag w:uri="urn:schemas-microsoft-com:office:smarttags" w:element="place">
                <w:r w:rsidRPr="008E0628">
                  <w:rPr>
                    <w:sz w:val="20"/>
                    <w:szCs w:val="20"/>
                    <w:lang w:val="en-US"/>
                  </w:rPr>
                  <w:t>Galicia</w:t>
                </w:r>
              </w:smartTag>
            </w:smartTag>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1.425</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21,9</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16,6</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4,4</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25,2</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19,7</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11,2</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1,1</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smartTag w:uri="urn:schemas-microsoft-com:office:smarttags" w:element="State">
              <w:smartTag w:uri="urn:schemas-microsoft-com:office:smarttags" w:element="place">
                <w:r w:rsidRPr="008E0628">
                  <w:rPr>
                    <w:sz w:val="20"/>
                    <w:szCs w:val="20"/>
                    <w:lang w:val="en-US"/>
                  </w:rPr>
                  <w:t>Madrid</w:t>
                </w:r>
              </w:smartTag>
            </w:smartTag>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2.658</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26,2</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18,5</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7,7</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19,4</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28,0</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0,3</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smartTag w:uri="urn:schemas-microsoft-com:office:smarttags" w:element="country-region">
              <w:smartTag w:uri="urn:schemas-microsoft-com:office:smarttags" w:element="place">
                <w:r w:rsidRPr="008E0628">
                  <w:rPr>
                    <w:sz w:val="20"/>
                    <w:szCs w:val="20"/>
                    <w:lang w:val="en-US"/>
                  </w:rPr>
                  <w:t>Murcia</w:t>
                </w:r>
              </w:smartTag>
            </w:smartTag>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786</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24,3</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22,4</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1,5</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24,8</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26,5</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0,5</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Navarra</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564</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19,0</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14,5</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1,4</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35,4</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7,6</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20,0</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2,0</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 xml:space="preserve">P. </w:t>
            </w:r>
            <w:proofErr w:type="spellStart"/>
            <w:r w:rsidRPr="008E0628">
              <w:rPr>
                <w:sz w:val="20"/>
                <w:szCs w:val="20"/>
                <w:lang w:val="en-US"/>
              </w:rPr>
              <w:t>Valenciano</w:t>
            </w:r>
            <w:proofErr w:type="spellEnd"/>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2.518</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23,9</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24,3</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4,4</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22,4</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24,5</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0,6</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País Vasco</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1.319</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15,2</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6,5</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2,1</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17,7</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0,9</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Rioja</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216</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19,4</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19,0</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3,2</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39,8</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18,5</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0,0</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Ceuta-Melilla</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200</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27,0</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28,5</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10,0</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21,5</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13,0</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0,0</w:t>
            </w:r>
          </w:p>
        </w:tc>
      </w:tr>
      <w:tr w:rsidR="008E0628" w:rsidRPr="008E0628" w:rsidTr="00111BCB">
        <w:tc>
          <w:tcPr>
            <w:tcW w:w="135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rPr>
                <w:sz w:val="20"/>
                <w:szCs w:val="20"/>
                <w:lang w:val="en-US"/>
              </w:rPr>
            </w:pPr>
            <w:r w:rsidRPr="008E0628">
              <w:rPr>
                <w:sz w:val="20"/>
                <w:szCs w:val="20"/>
                <w:lang w:val="en-US"/>
              </w:rPr>
              <w:t>TOTAL</w:t>
            </w:r>
          </w:p>
        </w:tc>
        <w:tc>
          <w:tcPr>
            <w:tcW w:w="78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right"/>
              <w:rPr>
                <w:sz w:val="20"/>
                <w:szCs w:val="20"/>
                <w:lang w:val="en-US"/>
              </w:rPr>
            </w:pPr>
            <w:r w:rsidRPr="008E0628">
              <w:rPr>
                <w:sz w:val="20"/>
                <w:szCs w:val="20"/>
                <w:lang w:val="en-US"/>
              </w:rPr>
              <w:t>23.160</w:t>
            </w:r>
          </w:p>
        </w:tc>
        <w:tc>
          <w:tcPr>
            <w:tcW w:w="87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22,3</w:t>
            </w:r>
          </w:p>
        </w:tc>
        <w:tc>
          <w:tcPr>
            <w:tcW w:w="736"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19,9</w:t>
            </w:r>
          </w:p>
        </w:tc>
        <w:tc>
          <w:tcPr>
            <w:tcW w:w="1019"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5,5</w:t>
            </w:r>
          </w:p>
        </w:tc>
        <w:tc>
          <w:tcPr>
            <w:tcW w:w="126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5,8</w:t>
            </w:r>
          </w:p>
        </w:tc>
        <w:tc>
          <w:tcPr>
            <w:tcW w:w="1045"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22,4</w:t>
            </w:r>
          </w:p>
        </w:tc>
        <w:tc>
          <w:tcPr>
            <w:tcW w:w="843" w:type="dxa"/>
            <w:tcBorders>
              <w:top w:val="nil"/>
              <w:left w:val="single" w:sz="4" w:space="0" w:color="000000"/>
              <w:bottom w:val="single" w:sz="4" w:space="0" w:color="000000"/>
              <w:right w:val="nil"/>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23,4</w:t>
            </w:r>
          </w:p>
        </w:tc>
        <w:tc>
          <w:tcPr>
            <w:tcW w:w="811" w:type="dxa"/>
            <w:tcBorders>
              <w:top w:val="nil"/>
              <w:left w:val="single" w:sz="4" w:space="0" w:color="000000"/>
              <w:bottom w:val="single" w:sz="4" w:space="0" w:color="000000"/>
              <w:right w:val="single" w:sz="4" w:space="0" w:color="000000"/>
            </w:tcBorders>
          </w:tcPr>
          <w:p w:rsidR="008E0628" w:rsidRPr="008E0628" w:rsidRDefault="008E0628" w:rsidP="008E0628">
            <w:pPr>
              <w:keepNext/>
              <w:keepLines/>
              <w:snapToGrid w:val="0"/>
              <w:spacing w:after="0" w:line="240" w:lineRule="auto"/>
              <w:jc w:val="center"/>
              <w:rPr>
                <w:sz w:val="20"/>
                <w:szCs w:val="20"/>
                <w:lang w:val="en-US"/>
              </w:rPr>
            </w:pPr>
            <w:r w:rsidRPr="008E0628">
              <w:rPr>
                <w:sz w:val="20"/>
                <w:szCs w:val="20"/>
                <w:lang w:val="en-US"/>
              </w:rPr>
              <w:t>0,9</w:t>
            </w:r>
          </w:p>
        </w:tc>
      </w:tr>
    </w:tbl>
    <w:p w:rsidR="008E0628" w:rsidRPr="008E0628" w:rsidRDefault="008E0628" w:rsidP="008E0628">
      <w:pPr>
        <w:spacing w:after="0" w:line="240" w:lineRule="auto"/>
        <w:jc w:val="center"/>
      </w:pPr>
      <w:r w:rsidRPr="008E0628">
        <w:rPr>
          <w:sz w:val="20"/>
          <w:szCs w:val="20"/>
        </w:rPr>
        <w:t>Fuente: Ministerio de Empleo</w:t>
      </w:r>
    </w:p>
    <w:p w:rsidR="008E0628" w:rsidRPr="008E0628" w:rsidRDefault="008E0628" w:rsidP="008E0628">
      <w:pPr>
        <w:tabs>
          <w:tab w:val="left" w:pos="720"/>
        </w:tabs>
        <w:suppressAutoHyphens/>
        <w:autoSpaceDE w:val="0"/>
        <w:spacing w:after="0" w:line="240" w:lineRule="auto"/>
        <w:ind w:left="360"/>
        <w:jc w:val="both"/>
        <w:rPr>
          <w:rFonts w:cs="Tisa"/>
        </w:rPr>
      </w:pPr>
    </w:p>
    <w:p w:rsidR="008E0628" w:rsidRPr="008E0628" w:rsidRDefault="008E0628" w:rsidP="008E0628">
      <w:pPr>
        <w:numPr>
          <w:ilvl w:val="0"/>
          <w:numId w:val="5"/>
        </w:numPr>
        <w:suppressAutoHyphens/>
        <w:spacing w:after="0" w:line="240" w:lineRule="auto"/>
        <w:jc w:val="both"/>
        <w:rPr>
          <w:rFonts w:ascii="Verdana" w:hAnsi="Verdana" w:cs="Arial"/>
        </w:rPr>
      </w:pPr>
      <w:r w:rsidRPr="008E0628">
        <w:rPr>
          <w:rFonts w:ascii="Verdana" w:hAnsi="Verdana" w:cs="Arial"/>
          <w:i/>
        </w:rPr>
        <w:t xml:space="preserve">Fragmentación de los minoritarios: </w:t>
      </w:r>
      <w:r w:rsidRPr="008E0628">
        <w:rPr>
          <w:rFonts w:ascii="Verdana" w:hAnsi="Verdana" w:cs="Arial"/>
        </w:rPr>
        <w:t xml:space="preserve">además de los sindicatos reconocidos como más representativos a nivel estatal y en las CCAA del País Vasco, Navarra y Galicia, se registra un grupo heterogéneo de sindicatos minoritarios que en su conjunto acumulan un total de 47.411 delegados/as electos, equivalente al 15,6% del total. Con la excepción </w:t>
      </w:r>
      <w:r w:rsidRPr="008E0628">
        <w:rPr>
          <w:rFonts w:ascii="Verdana" w:hAnsi="Verdana" w:cs="Arial"/>
        </w:rPr>
        <w:lastRenderedPageBreak/>
        <w:t>de USO (que ocupa el tercer lugar en el ranking, aunque representa apenas el 3,6% ) y CGT (1,6%), se trata generalmente de sindicatos corporativos o de empresa, instalados en algunos sectores y/o niveles de la función pública y otros servicios como grandes almacenes (FETICO, FASGA), enseñanza (FSIE, STES, ANPE), etc.</w:t>
      </w:r>
    </w:p>
    <w:p w:rsidR="008E0628" w:rsidRPr="008E0628" w:rsidRDefault="008E0628" w:rsidP="008E0628">
      <w:pPr>
        <w:numPr>
          <w:ilvl w:val="0"/>
          <w:numId w:val="5"/>
        </w:numPr>
        <w:suppressAutoHyphens/>
        <w:spacing w:after="0" w:line="240" w:lineRule="auto"/>
        <w:jc w:val="both"/>
        <w:rPr>
          <w:rFonts w:ascii="Verdana" w:hAnsi="Verdana" w:cs="Arial"/>
          <w:i/>
        </w:rPr>
      </w:pPr>
      <w:r w:rsidRPr="008E0628">
        <w:rPr>
          <w:rFonts w:ascii="Verdana" w:hAnsi="Verdana" w:cs="Arial"/>
          <w:i/>
        </w:rPr>
        <w:t xml:space="preserve">Sindicalización de la representación: </w:t>
      </w:r>
      <w:r w:rsidRPr="008E0628">
        <w:rPr>
          <w:rFonts w:ascii="Verdana" w:hAnsi="Verdana" w:cs="Arial"/>
        </w:rPr>
        <w:t>sólo 6.654 delegados/as (2,2% del total en 2012, frente a un 30,4% en 1978) figuran como “no afiliados” (no sindicales en la base de datos SIC), lo que supone que se ha completado prácticamente el ciclo de sindicalización iniciado en la segunda mitad de los años ochenta, tras una primera fase en la que los no adscritos suponían más de una cuarta parte de los electos.</w:t>
      </w:r>
    </w:p>
    <w:p w:rsidR="008E0628" w:rsidRDefault="008E0628" w:rsidP="008E0628">
      <w:pPr>
        <w:autoSpaceDE w:val="0"/>
        <w:spacing w:after="0" w:line="240" w:lineRule="auto"/>
        <w:jc w:val="both"/>
        <w:rPr>
          <w:rFonts w:ascii="Verdana" w:hAnsi="Verdana" w:cs="Tisa"/>
          <w:color w:val="000000"/>
        </w:rPr>
      </w:pPr>
    </w:p>
    <w:p w:rsidR="008E0628" w:rsidRPr="008E0628" w:rsidRDefault="008E0628" w:rsidP="008E0628">
      <w:pPr>
        <w:autoSpaceDE w:val="0"/>
        <w:spacing w:after="0" w:line="240" w:lineRule="auto"/>
        <w:jc w:val="both"/>
        <w:rPr>
          <w:rFonts w:ascii="Verdana" w:hAnsi="Verdana" w:cs="Tisa"/>
          <w:color w:val="000000"/>
        </w:rPr>
      </w:pPr>
      <w:r w:rsidRPr="008E0628">
        <w:rPr>
          <w:rFonts w:ascii="Verdana" w:hAnsi="Verdana" w:cs="Tisa"/>
          <w:color w:val="000000"/>
        </w:rPr>
        <w:t>Se trata, pues, de un sistema de representación caracterizado por un importante grado de cobertura y homogeneidad no exento, sin embargo, de algunos puntos débiles que trataremos de identificar en el presente estudio, y en el que si bien opera una pluralidad de organizaciones, la representación mayoritaria se concentra en los dos sindicatos de clase (CCOO y UGT), que mantienen, además, desde hace dos décadas una estrategia de unidad de acción consolidada que se proyecta en la negociación colectiva y en la representación institucional.</w:t>
      </w:r>
    </w:p>
    <w:p w:rsidR="008E0628" w:rsidRDefault="008E0628" w:rsidP="008E0628">
      <w:pPr>
        <w:widowControl w:val="0"/>
        <w:autoSpaceDE w:val="0"/>
        <w:autoSpaceDN w:val="0"/>
        <w:adjustRightInd w:val="0"/>
        <w:spacing w:after="0" w:line="240" w:lineRule="auto"/>
        <w:jc w:val="both"/>
        <w:rPr>
          <w:rFonts w:ascii="Verdana" w:hAnsi="Verdana" w:cs="Calibri"/>
        </w:rPr>
      </w:pPr>
    </w:p>
    <w:p w:rsidR="008E0628" w:rsidRPr="008E0628" w:rsidRDefault="008E0628" w:rsidP="008E0628">
      <w:pPr>
        <w:widowControl w:val="0"/>
        <w:autoSpaceDE w:val="0"/>
        <w:autoSpaceDN w:val="0"/>
        <w:adjustRightInd w:val="0"/>
        <w:spacing w:after="0" w:line="240" w:lineRule="auto"/>
        <w:jc w:val="both"/>
        <w:rPr>
          <w:rFonts w:ascii="Verdana" w:hAnsi="Verdana" w:cs="Calibri"/>
        </w:rPr>
      </w:pPr>
      <w:r w:rsidRPr="008E0628">
        <w:rPr>
          <w:rFonts w:ascii="Verdana" w:hAnsi="Verdana" w:cs="Calibri"/>
        </w:rPr>
        <w:t xml:space="preserve">Además de los datos de los correspondientes registros oficiales, también es posible aproximarse a la tasa de cobertura de la representación sindical a través de la información aportada por la Encuesta de Calidad de Vida en el Trabajo, realizada por el Ministerio de </w:t>
      </w:r>
      <w:proofErr w:type="spellStart"/>
      <w:r w:rsidRPr="008E0628">
        <w:rPr>
          <w:rFonts w:ascii="Verdana" w:hAnsi="Verdana" w:cs="Calibri"/>
        </w:rPr>
        <w:t>de</w:t>
      </w:r>
      <w:proofErr w:type="spellEnd"/>
      <w:r w:rsidRPr="008E0628">
        <w:rPr>
          <w:rFonts w:ascii="Verdana" w:hAnsi="Verdana" w:cs="Calibri"/>
        </w:rPr>
        <w:t xml:space="preserve"> Trabajo desde 1999 e interrumpida en 2010</w:t>
      </w:r>
      <w:r w:rsidRPr="008E0628">
        <w:rPr>
          <w:rStyle w:val="Refdenotaalpie"/>
          <w:rFonts w:ascii="Verdana" w:hAnsi="Verdana"/>
        </w:rPr>
        <w:footnoteReference w:id="28"/>
      </w:r>
      <w:r w:rsidRPr="008E0628">
        <w:rPr>
          <w:rFonts w:ascii="Verdana" w:hAnsi="Verdana" w:cs="Calibri"/>
        </w:rPr>
        <w:t>. Utilizaremos sus datos aquí, puesto que como veremos, permite complementar el análisis otras con variables de interés no presentes en la base de datos SIC-CCOO. En la tabla 1.2 se observa que dicha tasa era del 47,4% sobre el total de la población asalariada, lo que equivale, aproximadamente, a 7.100.000 trabajadores, tras un crecimiento sostenido que en la última década ha sido especialmente importante. Se trata de valores mínimos, pues en el 15,3% de los casos no consta una respuesta clara al respecto.</w:t>
      </w:r>
    </w:p>
    <w:p w:rsidR="008E0628" w:rsidRPr="008E0628" w:rsidRDefault="008E0628" w:rsidP="008E0628">
      <w:pPr>
        <w:widowControl w:val="0"/>
        <w:autoSpaceDE w:val="0"/>
        <w:autoSpaceDN w:val="0"/>
        <w:adjustRightInd w:val="0"/>
        <w:spacing w:after="0" w:line="240" w:lineRule="auto"/>
        <w:jc w:val="both"/>
        <w:rPr>
          <w:rFonts w:ascii="Verdana" w:hAnsi="Verdana" w:cs="Calibri"/>
        </w:rPr>
      </w:pPr>
    </w:p>
    <w:p w:rsidR="008E0628" w:rsidRDefault="008E0628" w:rsidP="008E0628">
      <w:pPr>
        <w:spacing w:after="0" w:line="240" w:lineRule="auto"/>
        <w:jc w:val="center"/>
        <w:rPr>
          <w:rFonts w:ascii="Verdana" w:hAnsi="Verdana" w:cs="Calibri"/>
        </w:rPr>
      </w:pPr>
      <w:r>
        <w:rPr>
          <w:rFonts w:ascii="Verdana" w:hAnsi="Verdana" w:cs="Calibri"/>
        </w:rPr>
        <w:t>Tabla 3</w:t>
      </w:r>
      <w:r w:rsidRPr="008E0628">
        <w:rPr>
          <w:rFonts w:ascii="Verdana" w:hAnsi="Verdana" w:cs="Calibri"/>
        </w:rPr>
        <w:t>.6.</w:t>
      </w:r>
      <w:r w:rsidRPr="008E0628">
        <w:rPr>
          <w:rFonts w:ascii="Verdana" w:hAnsi="Verdana" w:cs="Calibri"/>
          <w:i/>
        </w:rPr>
        <w:t xml:space="preserve"> </w:t>
      </w:r>
      <w:r w:rsidRPr="008E0628">
        <w:rPr>
          <w:rFonts w:ascii="Verdana" w:hAnsi="Verdana" w:cs="Calibri"/>
        </w:rPr>
        <w:t>Evolución de la afiliación y representación sindical (2000-2010)</w:t>
      </w:r>
    </w:p>
    <w:p w:rsidR="008E0628" w:rsidRPr="008E0628" w:rsidRDefault="008E0628" w:rsidP="008E0628">
      <w:pPr>
        <w:spacing w:after="0" w:line="240" w:lineRule="auto"/>
        <w:jc w:val="center"/>
        <w:rPr>
          <w:rFonts w:ascii="Verdana" w:hAnsi="Verdana"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1"/>
        <w:gridCol w:w="1252"/>
        <w:gridCol w:w="1252"/>
        <w:gridCol w:w="1416"/>
      </w:tblGrid>
      <w:tr w:rsidR="008E0628" w:rsidRPr="008E0628" w:rsidTr="00111BCB">
        <w:trPr>
          <w:jc w:val="center"/>
        </w:trPr>
        <w:tc>
          <w:tcPr>
            <w:tcW w:w="3521" w:type="dxa"/>
            <w:tcBorders>
              <w:top w:val="single" w:sz="4" w:space="0" w:color="auto"/>
              <w:left w:val="single" w:sz="4" w:space="0" w:color="auto"/>
              <w:bottom w:val="single" w:sz="4" w:space="0" w:color="auto"/>
              <w:right w:val="single" w:sz="4" w:space="0" w:color="auto"/>
            </w:tcBorders>
            <w:shd w:val="clear" w:color="auto" w:fill="BFBFBF"/>
          </w:tcPr>
          <w:p w:rsidR="008E0628" w:rsidRPr="008E0628" w:rsidRDefault="008E0628" w:rsidP="008E0628">
            <w:pPr>
              <w:spacing w:after="0" w:line="240" w:lineRule="auto"/>
              <w:jc w:val="both"/>
              <w:rPr>
                <w:rFonts w:ascii="Verdana" w:hAnsi="Verdana" w:cs="Calibr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BFBFBF"/>
            <w:vAlign w:val="bottom"/>
          </w:tcPr>
          <w:p w:rsidR="008E0628" w:rsidRPr="008E0628" w:rsidRDefault="008E0628" w:rsidP="008E0628">
            <w:pPr>
              <w:spacing w:after="0" w:line="240" w:lineRule="auto"/>
              <w:jc w:val="right"/>
              <w:rPr>
                <w:rFonts w:ascii="Verdana" w:hAnsi="Verdana" w:cs="Calibri"/>
                <w:b/>
                <w:sz w:val="20"/>
                <w:szCs w:val="20"/>
                <w:lang w:val="en-US"/>
              </w:rPr>
            </w:pPr>
            <w:r w:rsidRPr="008E0628">
              <w:rPr>
                <w:rFonts w:ascii="Verdana" w:hAnsi="Verdana" w:cs="Calibri"/>
                <w:b/>
                <w:sz w:val="20"/>
                <w:szCs w:val="20"/>
                <w:lang w:val="en-US"/>
              </w:rPr>
              <w:t>2000</w:t>
            </w:r>
          </w:p>
        </w:tc>
        <w:tc>
          <w:tcPr>
            <w:tcW w:w="1144" w:type="dxa"/>
            <w:tcBorders>
              <w:top w:val="single" w:sz="4" w:space="0" w:color="auto"/>
              <w:left w:val="single" w:sz="4" w:space="0" w:color="auto"/>
              <w:bottom w:val="single" w:sz="4" w:space="0" w:color="auto"/>
              <w:right w:val="single" w:sz="4" w:space="0" w:color="auto"/>
            </w:tcBorders>
            <w:shd w:val="clear" w:color="auto" w:fill="BFBFBF"/>
            <w:vAlign w:val="bottom"/>
          </w:tcPr>
          <w:p w:rsidR="008E0628" w:rsidRPr="008E0628" w:rsidRDefault="008E0628" w:rsidP="008E0628">
            <w:pPr>
              <w:spacing w:after="0" w:line="240" w:lineRule="auto"/>
              <w:jc w:val="right"/>
              <w:rPr>
                <w:rFonts w:ascii="Verdana" w:hAnsi="Verdana" w:cs="Calibri"/>
                <w:b/>
                <w:sz w:val="20"/>
                <w:szCs w:val="20"/>
                <w:lang w:val="en-US"/>
              </w:rPr>
            </w:pPr>
            <w:r w:rsidRPr="008E0628">
              <w:rPr>
                <w:rFonts w:ascii="Verdana" w:hAnsi="Verdana" w:cs="Calibri"/>
                <w:b/>
                <w:sz w:val="20"/>
                <w:szCs w:val="20"/>
                <w:lang w:val="en-US"/>
              </w:rPr>
              <w:t>2010</w:t>
            </w:r>
          </w:p>
        </w:tc>
        <w:tc>
          <w:tcPr>
            <w:tcW w:w="1144" w:type="dxa"/>
            <w:tcBorders>
              <w:top w:val="single" w:sz="4" w:space="0" w:color="auto"/>
              <w:left w:val="single" w:sz="4" w:space="0" w:color="auto"/>
              <w:bottom w:val="single" w:sz="4" w:space="0" w:color="auto"/>
              <w:right w:val="single" w:sz="4" w:space="0" w:color="auto"/>
            </w:tcBorders>
            <w:shd w:val="clear" w:color="auto" w:fill="BFBFBF"/>
            <w:vAlign w:val="bottom"/>
          </w:tcPr>
          <w:p w:rsidR="008E0628" w:rsidRPr="008E0628" w:rsidRDefault="008E0628" w:rsidP="008E0628">
            <w:pPr>
              <w:spacing w:after="0" w:line="240" w:lineRule="auto"/>
              <w:jc w:val="right"/>
              <w:rPr>
                <w:rFonts w:ascii="Verdana" w:hAnsi="Verdana" w:cs="Calibri"/>
                <w:b/>
                <w:sz w:val="20"/>
                <w:szCs w:val="20"/>
                <w:lang w:val="en-US"/>
              </w:rPr>
            </w:pPr>
            <w:proofErr w:type="spellStart"/>
            <w:r w:rsidRPr="008E0628">
              <w:rPr>
                <w:rFonts w:ascii="Verdana" w:hAnsi="Verdana" w:cs="Calibri"/>
                <w:b/>
                <w:sz w:val="20"/>
                <w:szCs w:val="20"/>
                <w:lang w:val="en-US"/>
              </w:rPr>
              <w:t>Evolución</w:t>
            </w:r>
            <w:proofErr w:type="spellEnd"/>
          </w:p>
          <w:p w:rsidR="008E0628" w:rsidRPr="008E0628" w:rsidRDefault="008E0628" w:rsidP="008E0628">
            <w:pPr>
              <w:spacing w:after="0" w:line="240" w:lineRule="auto"/>
              <w:jc w:val="right"/>
              <w:rPr>
                <w:rFonts w:ascii="Verdana" w:hAnsi="Verdana" w:cs="Calibri"/>
                <w:b/>
                <w:sz w:val="20"/>
                <w:szCs w:val="20"/>
                <w:lang w:val="en-US"/>
              </w:rPr>
            </w:pPr>
            <w:r w:rsidRPr="008E0628">
              <w:rPr>
                <w:rFonts w:ascii="Verdana" w:hAnsi="Verdana" w:cs="Calibri"/>
                <w:b/>
                <w:sz w:val="20"/>
                <w:szCs w:val="20"/>
                <w:lang w:val="en-US"/>
              </w:rPr>
              <w:t>2000-10</w:t>
            </w:r>
          </w:p>
        </w:tc>
      </w:tr>
      <w:tr w:rsidR="008E0628" w:rsidRPr="008E0628" w:rsidTr="00111BCB">
        <w:trPr>
          <w:trHeight w:val="790"/>
          <w:jc w:val="center"/>
        </w:trPr>
        <w:tc>
          <w:tcPr>
            <w:tcW w:w="3521"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spacing w:after="0" w:line="240" w:lineRule="auto"/>
              <w:jc w:val="both"/>
              <w:rPr>
                <w:rFonts w:ascii="Verdana" w:hAnsi="Verdana" w:cs="Calibri"/>
                <w:sz w:val="20"/>
                <w:szCs w:val="20"/>
                <w:lang w:val="en-US"/>
              </w:rPr>
            </w:pPr>
            <w:proofErr w:type="spellStart"/>
            <w:r w:rsidRPr="008E0628">
              <w:rPr>
                <w:rFonts w:ascii="Verdana" w:hAnsi="Verdana" w:cs="Calibri"/>
                <w:sz w:val="20"/>
                <w:szCs w:val="20"/>
                <w:lang w:val="en-US"/>
              </w:rPr>
              <w:t>Afiliación</w:t>
            </w:r>
            <w:proofErr w:type="spellEnd"/>
          </w:p>
          <w:p w:rsidR="008E0628" w:rsidRPr="008E0628" w:rsidRDefault="008E0628" w:rsidP="008E0628">
            <w:pPr>
              <w:numPr>
                <w:ilvl w:val="0"/>
                <w:numId w:val="9"/>
              </w:numPr>
              <w:spacing w:after="0" w:line="240" w:lineRule="auto"/>
              <w:jc w:val="both"/>
              <w:rPr>
                <w:rFonts w:ascii="Verdana" w:hAnsi="Verdana" w:cs="Calibri"/>
                <w:sz w:val="20"/>
                <w:szCs w:val="20"/>
                <w:lang w:val="en-US"/>
              </w:rPr>
            </w:pPr>
            <w:r w:rsidRPr="008E0628">
              <w:rPr>
                <w:rFonts w:ascii="Verdana" w:hAnsi="Verdana" w:cs="Calibri"/>
                <w:sz w:val="20"/>
                <w:szCs w:val="20"/>
                <w:lang w:val="en-US"/>
              </w:rPr>
              <w:t>Total</w:t>
            </w:r>
          </w:p>
          <w:p w:rsidR="008E0628" w:rsidRPr="008E0628" w:rsidRDefault="008E0628" w:rsidP="008E0628">
            <w:pPr>
              <w:numPr>
                <w:ilvl w:val="0"/>
                <w:numId w:val="9"/>
              </w:numPr>
              <w:spacing w:after="0" w:line="240" w:lineRule="auto"/>
              <w:jc w:val="both"/>
              <w:rPr>
                <w:rFonts w:ascii="Verdana" w:hAnsi="Verdana" w:cs="Calibri"/>
                <w:sz w:val="20"/>
                <w:szCs w:val="20"/>
                <w:lang w:val="en-US"/>
              </w:rPr>
            </w:pPr>
            <w:proofErr w:type="spellStart"/>
            <w:r w:rsidRPr="008E0628">
              <w:rPr>
                <w:rFonts w:ascii="Verdana" w:hAnsi="Verdana" w:cs="Calibri"/>
                <w:sz w:val="20"/>
                <w:szCs w:val="20"/>
                <w:lang w:val="en-US"/>
              </w:rPr>
              <w:t>Tasa</w:t>
            </w:r>
            <w:proofErr w:type="spellEnd"/>
          </w:p>
        </w:tc>
        <w:tc>
          <w:tcPr>
            <w:tcW w:w="1144"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spacing w:after="0" w:line="240" w:lineRule="auto"/>
              <w:jc w:val="right"/>
              <w:rPr>
                <w:rFonts w:ascii="Verdana" w:hAnsi="Verdana" w:cs="Calibri"/>
                <w:sz w:val="20"/>
                <w:szCs w:val="20"/>
                <w:lang w:val="en-US"/>
              </w:rPr>
            </w:pP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2.093.500</w:t>
            </w: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16,6%</w:t>
            </w:r>
          </w:p>
        </w:tc>
        <w:tc>
          <w:tcPr>
            <w:tcW w:w="1144"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spacing w:after="0" w:line="240" w:lineRule="auto"/>
              <w:jc w:val="right"/>
              <w:rPr>
                <w:rFonts w:ascii="Verdana" w:hAnsi="Verdana" w:cs="Calibri"/>
                <w:sz w:val="20"/>
                <w:szCs w:val="20"/>
                <w:lang w:val="en-US"/>
              </w:rPr>
            </w:pP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2.894.200</w:t>
            </w: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18,9%</w:t>
            </w:r>
          </w:p>
        </w:tc>
        <w:tc>
          <w:tcPr>
            <w:tcW w:w="1144"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spacing w:after="0" w:line="240" w:lineRule="auto"/>
              <w:jc w:val="right"/>
              <w:rPr>
                <w:rFonts w:ascii="Verdana" w:hAnsi="Verdana" w:cs="Calibri"/>
                <w:sz w:val="20"/>
                <w:szCs w:val="20"/>
                <w:lang w:val="en-US"/>
              </w:rPr>
            </w:pP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+800.700</w:t>
            </w: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+ 38,2%</w:t>
            </w:r>
          </w:p>
        </w:tc>
      </w:tr>
      <w:tr w:rsidR="008E0628" w:rsidRPr="008E0628" w:rsidTr="00111BCB">
        <w:trPr>
          <w:jc w:val="center"/>
        </w:trPr>
        <w:tc>
          <w:tcPr>
            <w:tcW w:w="3521"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spacing w:after="0" w:line="240" w:lineRule="auto"/>
              <w:jc w:val="both"/>
              <w:rPr>
                <w:rFonts w:ascii="Verdana" w:hAnsi="Verdana" w:cs="Calibri"/>
                <w:sz w:val="20"/>
                <w:szCs w:val="20"/>
                <w:lang w:val="en-US"/>
              </w:rPr>
            </w:pPr>
            <w:proofErr w:type="spellStart"/>
            <w:r w:rsidRPr="008E0628">
              <w:rPr>
                <w:rFonts w:ascii="Verdana" w:hAnsi="Verdana" w:cs="Calibri"/>
                <w:sz w:val="20"/>
                <w:szCs w:val="20"/>
                <w:lang w:val="en-US"/>
              </w:rPr>
              <w:t>Cobertura</w:t>
            </w:r>
            <w:proofErr w:type="spellEnd"/>
            <w:r w:rsidRPr="008E0628">
              <w:rPr>
                <w:rFonts w:ascii="Verdana" w:hAnsi="Verdana" w:cs="Calibri"/>
                <w:sz w:val="20"/>
                <w:szCs w:val="20"/>
                <w:lang w:val="en-US"/>
              </w:rPr>
              <w:t xml:space="preserve"> de la </w:t>
            </w:r>
            <w:proofErr w:type="spellStart"/>
            <w:r w:rsidRPr="008E0628">
              <w:rPr>
                <w:rFonts w:ascii="Verdana" w:hAnsi="Verdana" w:cs="Calibri"/>
                <w:sz w:val="20"/>
                <w:szCs w:val="20"/>
                <w:lang w:val="en-US"/>
              </w:rPr>
              <w:t>representación</w:t>
            </w:r>
            <w:proofErr w:type="spellEnd"/>
            <w:r w:rsidRPr="008E0628">
              <w:rPr>
                <w:rFonts w:ascii="Verdana" w:hAnsi="Verdana" w:cs="Calibri"/>
                <w:sz w:val="20"/>
                <w:szCs w:val="20"/>
                <w:lang w:val="en-US"/>
              </w:rPr>
              <w:t xml:space="preserve"> </w:t>
            </w:r>
            <w:proofErr w:type="spellStart"/>
            <w:r w:rsidRPr="008E0628">
              <w:rPr>
                <w:rFonts w:ascii="Verdana" w:hAnsi="Verdana" w:cs="Calibri"/>
                <w:sz w:val="20"/>
                <w:szCs w:val="20"/>
                <w:lang w:val="en-US"/>
              </w:rPr>
              <w:t>sindical</w:t>
            </w:r>
            <w:proofErr w:type="spellEnd"/>
          </w:p>
          <w:p w:rsidR="008E0628" w:rsidRPr="008E0628" w:rsidRDefault="008E0628" w:rsidP="008E0628">
            <w:pPr>
              <w:numPr>
                <w:ilvl w:val="0"/>
                <w:numId w:val="9"/>
              </w:numPr>
              <w:spacing w:after="0" w:line="240" w:lineRule="auto"/>
              <w:jc w:val="both"/>
              <w:rPr>
                <w:rFonts w:ascii="Verdana" w:hAnsi="Verdana" w:cs="Calibri"/>
                <w:sz w:val="20"/>
                <w:szCs w:val="20"/>
                <w:lang w:val="en-US"/>
              </w:rPr>
            </w:pPr>
            <w:r w:rsidRPr="008E0628">
              <w:rPr>
                <w:rFonts w:ascii="Verdana" w:hAnsi="Verdana" w:cs="Calibri"/>
                <w:sz w:val="20"/>
                <w:szCs w:val="20"/>
                <w:lang w:val="en-US"/>
              </w:rPr>
              <w:t>Total</w:t>
            </w:r>
          </w:p>
          <w:p w:rsidR="008E0628" w:rsidRPr="008E0628" w:rsidRDefault="008E0628" w:rsidP="008E0628">
            <w:pPr>
              <w:numPr>
                <w:ilvl w:val="0"/>
                <w:numId w:val="9"/>
              </w:numPr>
              <w:spacing w:after="0" w:line="240" w:lineRule="auto"/>
              <w:jc w:val="both"/>
              <w:rPr>
                <w:rFonts w:ascii="Verdana" w:hAnsi="Verdana" w:cs="Calibri"/>
                <w:sz w:val="20"/>
                <w:szCs w:val="20"/>
                <w:lang w:val="en-US"/>
              </w:rPr>
            </w:pPr>
            <w:proofErr w:type="spellStart"/>
            <w:r w:rsidRPr="008E0628">
              <w:rPr>
                <w:rFonts w:ascii="Verdana" w:hAnsi="Verdana" w:cs="Calibri"/>
                <w:sz w:val="20"/>
                <w:szCs w:val="20"/>
                <w:lang w:val="en-US"/>
              </w:rPr>
              <w:t>Tasa</w:t>
            </w:r>
            <w:proofErr w:type="spellEnd"/>
          </w:p>
        </w:tc>
        <w:tc>
          <w:tcPr>
            <w:tcW w:w="1144"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spacing w:after="0" w:line="240" w:lineRule="auto"/>
              <w:jc w:val="right"/>
              <w:rPr>
                <w:rFonts w:ascii="Verdana" w:hAnsi="Verdana" w:cs="Calibri"/>
                <w:sz w:val="20"/>
                <w:szCs w:val="20"/>
                <w:lang w:val="en-US"/>
              </w:rPr>
            </w:pP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5.400.000</w:t>
            </w: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42,9%</w:t>
            </w:r>
          </w:p>
        </w:tc>
        <w:tc>
          <w:tcPr>
            <w:tcW w:w="1144"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spacing w:after="0" w:line="240" w:lineRule="auto"/>
              <w:jc w:val="right"/>
              <w:rPr>
                <w:rFonts w:ascii="Verdana" w:hAnsi="Verdana" w:cs="Calibri"/>
                <w:sz w:val="20"/>
                <w:szCs w:val="20"/>
                <w:lang w:val="en-US"/>
              </w:rPr>
            </w:pP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7.100.000</w:t>
            </w: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47,4%</w:t>
            </w:r>
          </w:p>
        </w:tc>
        <w:tc>
          <w:tcPr>
            <w:tcW w:w="1144"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spacing w:after="0" w:line="240" w:lineRule="auto"/>
              <w:jc w:val="right"/>
              <w:rPr>
                <w:rFonts w:ascii="Verdana" w:hAnsi="Verdana" w:cs="Calibri"/>
                <w:sz w:val="20"/>
                <w:szCs w:val="20"/>
                <w:lang w:val="en-US"/>
              </w:rPr>
            </w:pP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+1.700.000</w:t>
            </w:r>
          </w:p>
          <w:p w:rsidR="008E0628" w:rsidRPr="008E0628" w:rsidRDefault="008E0628" w:rsidP="008E0628">
            <w:pPr>
              <w:spacing w:after="0" w:line="240" w:lineRule="auto"/>
              <w:jc w:val="right"/>
              <w:rPr>
                <w:rFonts w:ascii="Verdana" w:hAnsi="Verdana" w:cs="Calibri"/>
                <w:sz w:val="20"/>
                <w:szCs w:val="20"/>
                <w:lang w:val="en-US"/>
              </w:rPr>
            </w:pPr>
            <w:r w:rsidRPr="008E0628">
              <w:rPr>
                <w:rFonts w:ascii="Verdana" w:hAnsi="Verdana" w:cs="Calibri"/>
                <w:sz w:val="20"/>
                <w:szCs w:val="20"/>
                <w:lang w:val="en-US"/>
              </w:rPr>
              <w:t>+ 31,5%</w:t>
            </w:r>
          </w:p>
        </w:tc>
      </w:tr>
    </w:tbl>
    <w:p w:rsidR="008E0628" w:rsidRPr="008E0628" w:rsidRDefault="008E0628" w:rsidP="008E0628">
      <w:pPr>
        <w:spacing w:after="0" w:line="240" w:lineRule="auto"/>
        <w:jc w:val="center"/>
        <w:rPr>
          <w:rFonts w:ascii="Verdana" w:hAnsi="Verdana" w:cs="Calibri"/>
          <w:i/>
          <w:sz w:val="20"/>
          <w:szCs w:val="20"/>
        </w:rPr>
      </w:pPr>
      <w:r w:rsidRPr="008E0628">
        <w:rPr>
          <w:rFonts w:ascii="Verdana" w:hAnsi="Verdana" w:cs="Calibri"/>
          <w:sz w:val="20"/>
          <w:szCs w:val="20"/>
        </w:rPr>
        <w:t xml:space="preserve">Fuente: con datos del Ministerio de Trabajo, </w:t>
      </w:r>
      <w:r w:rsidRPr="008E0628">
        <w:rPr>
          <w:rFonts w:ascii="Verdana" w:hAnsi="Verdana" w:cs="Calibri"/>
          <w:i/>
          <w:sz w:val="20"/>
          <w:szCs w:val="20"/>
        </w:rPr>
        <w:t>Encuesta de Calidad de Vida en el Trabajo</w:t>
      </w:r>
    </w:p>
    <w:p w:rsidR="008E0628" w:rsidRPr="008E0628" w:rsidRDefault="008E0628" w:rsidP="008E0628">
      <w:pPr>
        <w:spacing w:after="0" w:line="240" w:lineRule="auto"/>
        <w:jc w:val="both"/>
        <w:rPr>
          <w:rFonts w:ascii="Verdana" w:hAnsi="Verdana" w:cs="Calibri"/>
        </w:rPr>
      </w:pPr>
    </w:p>
    <w:p w:rsidR="008E0628" w:rsidRPr="008E0628" w:rsidRDefault="008E0628" w:rsidP="008E0628">
      <w:pPr>
        <w:spacing w:after="0" w:line="240" w:lineRule="auto"/>
        <w:jc w:val="both"/>
        <w:rPr>
          <w:rFonts w:ascii="Verdana" w:hAnsi="Verdana" w:cs="Calibri"/>
        </w:rPr>
      </w:pPr>
      <w:r w:rsidRPr="008E0628">
        <w:rPr>
          <w:rFonts w:ascii="Verdana" w:hAnsi="Verdana" w:cs="Calibri"/>
        </w:rPr>
        <w:lastRenderedPageBreak/>
        <w:t>Como hemos argumentado, los datos de la ECVT 2010 presentes en la tabla 2.7 -ordenada según los entrevistados afirman tener o no representación sindical en su empresa o desconocer dicha información (</w:t>
      </w:r>
      <w:proofErr w:type="spellStart"/>
      <w:r w:rsidRPr="008E0628">
        <w:rPr>
          <w:rFonts w:ascii="Verdana" w:hAnsi="Verdana" w:cs="Calibri"/>
        </w:rPr>
        <w:t>ns</w:t>
      </w:r>
      <w:proofErr w:type="spellEnd"/>
      <w:r w:rsidRPr="008E0628">
        <w:rPr>
          <w:rFonts w:ascii="Verdana" w:hAnsi="Verdana" w:cs="Calibri"/>
        </w:rPr>
        <w:t>/</w:t>
      </w:r>
      <w:proofErr w:type="spellStart"/>
      <w:r w:rsidRPr="008E0628">
        <w:rPr>
          <w:rFonts w:ascii="Verdana" w:hAnsi="Verdana" w:cs="Calibri"/>
        </w:rPr>
        <w:t>nc</w:t>
      </w:r>
      <w:proofErr w:type="spellEnd"/>
      <w:r w:rsidRPr="008E0628">
        <w:rPr>
          <w:rFonts w:ascii="Verdana" w:hAnsi="Verdana" w:cs="Calibri"/>
        </w:rPr>
        <w:t>)-, permiten aproximarse a un análisis desagregado de la cobertura de la representación sindical;  según éste, dicha cobertura aumenta con el tamaño de la empresa y se distribuye desigualmente según sectores de actividad, desde niveles inferiores a la media en los más fragmentados, precarios y golpeados por la crisis (agricultura, construcción y servicios personales) hasta cotas notablemente más altas en la industria, transportes y comunicaciones, servicios financieros y servicios públicos.</w:t>
      </w:r>
    </w:p>
    <w:p w:rsidR="008E0628" w:rsidRPr="008E0628" w:rsidRDefault="008E0628" w:rsidP="008E0628">
      <w:pPr>
        <w:spacing w:after="0" w:line="240" w:lineRule="auto"/>
        <w:jc w:val="both"/>
        <w:rPr>
          <w:rFonts w:ascii="Verdana" w:hAnsi="Verdana" w:cs="Calibri"/>
        </w:rPr>
      </w:pPr>
    </w:p>
    <w:p w:rsidR="008E0628" w:rsidRDefault="008E0628" w:rsidP="008E0628">
      <w:pPr>
        <w:keepNext/>
        <w:keepLines/>
        <w:spacing w:after="0" w:line="240" w:lineRule="auto"/>
        <w:jc w:val="center"/>
        <w:rPr>
          <w:rFonts w:ascii="Verdana" w:hAnsi="Verdana" w:cs="Calibri"/>
        </w:rPr>
      </w:pPr>
      <w:r>
        <w:rPr>
          <w:rFonts w:ascii="Verdana" w:hAnsi="Verdana" w:cs="Calibri"/>
        </w:rPr>
        <w:t>Tabla 3</w:t>
      </w:r>
      <w:r w:rsidRPr="008E0628">
        <w:rPr>
          <w:rFonts w:ascii="Verdana" w:hAnsi="Verdana" w:cs="Calibri"/>
        </w:rPr>
        <w:t>.7. Representación sindical en la empresa, año 2010</w:t>
      </w:r>
    </w:p>
    <w:p w:rsidR="008E0628" w:rsidRPr="008E0628" w:rsidRDefault="008E0628" w:rsidP="008E0628">
      <w:pPr>
        <w:keepNext/>
        <w:keepLines/>
        <w:spacing w:after="0" w:line="240" w:lineRule="auto"/>
        <w:jc w:val="center"/>
        <w:rPr>
          <w:rFonts w:ascii="Verdana" w:hAnsi="Verdana" w:cs="Calibri"/>
        </w:rPr>
      </w:pPr>
    </w:p>
    <w:tbl>
      <w:tblPr>
        <w:tblW w:w="0" w:type="auto"/>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5"/>
        <w:gridCol w:w="1276"/>
        <w:gridCol w:w="1275"/>
        <w:gridCol w:w="1252"/>
      </w:tblGrid>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shd w:val="clear" w:color="auto" w:fill="BFBFBF"/>
          </w:tcPr>
          <w:p w:rsidR="008E0628" w:rsidRPr="008E0628" w:rsidRDefault="008E0628" w:rsidP="008E0628">
            <w:pPr>
              <w:keepNext/>
              <w:keepLines/>
              <w:spacing w:after="0" w:line="240" w:lineRule="auto"/>
              <w:jc w:val="center"/>
              <w:rPr>
                <w:rFonts w:ascii="Verdana" w:hAnsi="Verdana" w:cs="Calibri"/>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8E0628" w:rsidRPr="008E0628" w:rsidRDefault="008E0628" w:rsidP="008E0628">
            <w:pPr>
              <w:keepNext/>
              <w:keepLines/>
              <w:spacing w:after="0" w:line="240" w:lineRule="auto"/>
              <w:jc w:val="center"/>
              <w:rPr>
                <w:rFonts w:ascii="Verdana" w:hAnsi="Verdana" w:cs="Calibri"/>
                <w:b/>
                <w:sz w:val="20"/>
                <w:szCs w:val="20"/>
                <w:lang w:val="en-US"/>
              </w:rPr>
            </w:pPr>
            <w:r w:rsidRPr="008E0628">
              <w:rPr>
                <w:rFonts w:ascii="Verdana" w:hAnsi="Verdana" w:cs="Calibri"/>
                <w:b/>
                <w:sz w:val="20"/>
                <w:szCs w:val="20"/>
                <w:lang w:val="en-US"/>
              </w:rPr>
              <w:t>SI</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8E0628" w:rsidRPr="008E0628" w:rsidRDefault="008E0628" w:rsidP="008E0628">
            <w:pPr>
              <w:keepNext/>
              <w:keepLines/>
              <w:spacing w:after="0" w:line="240" w:lineRule="auto"/>
              <w:jc w:val="center"/>
              <w:rPr>
                <w:rFonts w:ascii="Verdana" w:hAnsi="Verdana" w:cs="Calibri"/>
                <w:b/>
                <w:sz w:val="20"/>
                <w:szCs w:val="20"/>
                <w:lang w:val="en-US"/>
              </w:rPr>
            </w:pPr>
            <w:r w:rsidRPr="008E0628">
              <w:rPr>
                <w:rFonts w:ascii="Verdana" w:hAnsi="Verdana" w:cs="Calibri"/>
                <w:b/>
                <w:sz w:val="20"/>
                <w:szCs w:val="20"/>
                <w:lang w:val="en-US"/>
              </w:rPr>
              <w:t>NO</w:t>
            </w:r>
          </w:p>
        </w:tc>
        <w:tc>
          <w:tcPr>
            <w:tcW w:w="1165" w:type="dxa"/>
            <w:tcBorders>
              <w:top w:val="single" w:sz="4" w:space="0" w:color="auto"/>
              <w:left w:val="single" w:sz="4" w:space="0" w:color="auto"/>
              <w:bottom w:val="single" w:sz="4" w:space="0" w:color="auto"/>
              <w:right w:val="single" w:sz="4" w:space="0" w:color="auto"/>
            </w:tcBorders>
            <w:shd w:val="clear" w:color="auto" w:fill="BFBFBF"/>
          </w:tcPr>
          <w:p w:rsidR="008E0628" w:rsidRPr="008E0628" w:rsidRDefault="008E0628" w:rsidP="008E0628">
            <w:pPr>
              <w:keepNext/>
              <w:keepLines/>
              <w:spacing w:after="0" w:line="240" w:lineRule="auto"/>
              <w:jc w:val="center"/>
              <w:rPr>
                <w:rFonts w:ascii="Verdana" w:hAnsi="Verdana" w:cs="Calibri"/>
                <w:b/>
                <w:sz w:val="20"/>
                <w:szCs w:val="20"/>
                <w:lang w:val="en-US"/>
              </w:rPr>
            </w:pPr>
            <w:r w:rsidRPr="008E0628">
              <w:rPr>
                <w:rFonts w:ascii="Verdana" w:hAnsi="Verdana" w:cs="Calibri"/>
                <w:b/>
                <w:sz w:val="20"/>
                <w:szCs w:val="20"/>
                <w:lang w:val="en-US"/>
              </w:rPr>
              <w:t>Ns/</w:t>
            </w:r>
            <w:proofErr w:type="spellStart"/>
            <w:r w:rsidRPr="008E0628">
              <w:rPr>
                <w:rFonts w:ascii="Verdana" w:hAnsi="Verdana" w:cs="Calibri"/>
                <w:b/>
                <w:sz w:val="20"/>
                <w:szCs w:val="20"/>
                <w:lang w:val="en-US"/>
              </w:rPr>
              <w:t>Nc</w:t>
            </w:r>
            <w:proofErr w:type="spellEnd"/>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TOTAL</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47,4</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37,2</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15,3</w:t>
            </w:r>
          </w:p>
        </w:tc>
      </w:tr>
      <w:tr w:rsidR="008E0628" w:rsidRPr="008E0628" w:rsidTr="00111BCB">
        <w:trPr>
          <w:jc w:val="center"/>
        </w:trPr>
        <w:tc>
          <w:tcPr>
            <w:tcW w:w="8432" w:type="dxa"/>
            <w:gridSpan w:val="4"/>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SEGÚN TAMAÑO CENTRO DE TRABAJO</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 xml:space="preserve">De </w:t>
            </w:r>
            <w:smartTag w:uri="urn:schemas-microsoft-com:office:smarttags" w:element="metricconverter">
              <w:smartTagPr>
                <w:attr w:name="ProductID" w:val="1 a"/>
              </w:smartTagPr>
              <w:r w:rsidRPr="008E0628">
                <w:rPr>
                  <w:rFonts w:ascii="Verdana" w:hAnsi="Verdana" w:cs="Calibri"/>
                  <w:sz w:val="20"/>
                  <w:szCs w:val="20"/>
                </w:rPr>
                <w:t>1 a</w:t>
              </w:r>
            </w:smartTag>
            <w:r w:rsidRPr="008E0628">
              <w:rPr>
                <w:rFonts w:ascii="Verdana" w:hAnsi="Verdana" w:cs="Calibri"/>
                <w:sz w:val="20"/>
                <w:szCs w:val="20"/>
              </w:rPr>
              <w:t xml:space="preserve"> 9 trabajadores</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 xml:space="preserve">25,2 </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57,2</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17,6</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 xml:space="preserve">De </w:t>
            </w:r>
            <w:smartTag w:uri="urn:schemas-microsoft-com:office:smarttags" w:element="metricconverter">
              <w:smartTagPr>
                <w:attr w:name="ProductID" w:val="10 a"/>
              </w:smartTagPr>
              <w:r w:rsidRPr="008E0628">
                <w:rPr>
                  <w:rFonts w:ascii="Verdana" w:hAnsi="Verdana" w:cs="Calibri"/>
                  <w:sz w:val="20"/>
                  <w:szCs w:val="20"/>
                </w:rPr>
                <w:t>10 a</w:t>
              </w:r>
            </w:smartTag>
            <w:r w:rsidRPr="008E0628">
              <w:rPr>
                <w:rFonts w:ascii="Verdana" w:hAnsi="Verdana" w:cs="Calibri"/>
                <w:sz w:val="20"/>
                <w:szCs w:val="20"/>
              </w:rPr>
              <w:t xml:space="preserve"> 49</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48,8</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35,6</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15,6</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 xml:space="preserve">De </w:t>
            </w:r>
            <w:smartTag w:uri="urn:schemas-microsoft-com:office:smarttags" w:element="metricconverter">
              <w:smartTagPr>
                <w:attr w:name="ProductID" w:val="50 a"/>
              </w:smartTagPr>
              <w:r w:rsidRPr="008E0628">
                <w:rPr>
                  <w:rFonts w:ascii="Verdana" w:hAnsi="Verdana" w:cs="Calibri"/>
                  <w:sz w:val="20"/>
                  <w:szCs w:val="20"/>
                </w:rPr>
                <w:t>50 a</w:t>
              </w:r>
            </w:smartTag>
            <w:r w:rsidRPr="008E0628">
              <w:rPr>
                <w:rFonts w:ascii="Verdana" w:hAnsi="Verdana" w:cs="Calibri"/>
                <w:sz w:val="20"/>
                <w:szCs w:val="20"/>
              </w:rPr>
              <w:t xml:space="preserve"> 249</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66,9</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17,9</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15,2</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De 250 y más trabajadores</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81,9</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9,6</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8,5</w:t>
            </w:r>
          </w:p>
        </w:tc>
      </w:tr>
      <w:tr w:rsidR="008E0628" w:rsidRPr="008E0628" w:rsidTr="00111BCB">
        <w:trPr>
          <w:jc w:val="center"/>
        </w:trPr>
        <w:tc>
          <w:tcPr>
            <w:tcW w:w="8432" w:type="dxa"/>
            <w:gridSpan w:val="4"/>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SEGÚN SECTOR DE ACTIVIDAD</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Agricultura</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31,6</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43,5</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24,9</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Industria</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57,0</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31,6</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11,4</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Construcción</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31,5</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52,8</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15,7</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Comercio y hostelería</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34,3</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47,7</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18,0</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Transportes y comunicaciones</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59,7</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31,6</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8,7</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Servicios financieros</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64,3</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24,8</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10,9</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Servicios empresariales</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40,0</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41,9</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18,1</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Servicios públicos</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61,5</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23,9</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14,6</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Servicios personales y a la comunidad</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17,5</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62,2</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20,2</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SEGÚN TIPO DE CONTRATO</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Indefinido</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50,9</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37,7</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11,4</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Temporal</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37,0</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35,7</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27,3</w:t>
            </w:r>
          </w:p>
        </w:tc>
      </w:tr>
      <w:tr w:rsidR="008E0628" w:rsidRPr="008E0628" w:rsidTr="00111BCB">
        <w:trPr>
          <w:jc w:val="center"/>
        </w:trPr>
        <w:tc>
          <w:tcPr>
            <w:tcW w:w="4716" w:type="dxa"/>
            <w:tcBorders>
              <w:top w:val="single" w:sz="4" w:space="0" w:color="auto"/>
              <w:left w:val="single" w:sz="4" w:space="0" w:color="auto"/>
              <w:bottom w:val="single" w:sz="4" w:space="0" w:color="auto"/>
              <w:right w:val="nil"/>
            </w:tcBorders>
          </w:tcPr>
          <w:p w:rsidR="008E0628" w:rsidRPr="008E0628" w:rsidRDefault="008E0628" w:rsidP="008E0628">
            <w:pPr>
              <w:keepNext/>
              <w:keepLines/>
              <w:spacing w:after="0" w:line="240" w:lineRule="auto"/>
              <w:jc w:val="both"/>
              <w:rPr>
                <w:rFonts w:ascii="Verdana" w:hAnsi="Verdana" w:cs="Calibri"/>
                <w:sz w:val="20"/>
                <w:szCs w:val="20"/>
              </w:rPr>
            </w:pPr>
          </w:p>
        </w:tc>
        <w:tc>
          <w:tcPr>
            <w:tcW w:w="3716" w:type="dxa"/>
            <w:gridSpan w:val="3"/>
            <w:tcBorders>
              <w:top w:val="single" w:sz="4" w:space="0" w:color="auto"/>
              <w:left w:val="nil"/>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b/>
                <w:sz w:val="20"/>
                <w:szCs w:val="20"/>
                <w:lang w:val="en-US"/>
              </w:rPr>
            </w:pP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AFILIACION SINDICAL</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b/>
                <w:sz w:val="20"/>
                <w:szCs w:val="20"/>
                <w:lang w:val="en-US"/>
              </w:rPr>
              <w:t>Ns/</w:t>
            </w:r>
            <w:proofErr w:type="spellStart"/>
            <w:r w:rsidRPr="008E0628">
              <w:rPr>
                <w:rFonts w:ascii="Verdana" w:hAnsi="Verdana" w:cs="Calibri"/>
                <w:b/>
                <w:sz w:val="20"/>
                <w:szCs w:val="20"/>
                <w:lang w:val="en-US"/>
              </w:rPr>
              <w:t>Nc</w:t>
            </w:r>
            <w:proofErr w:type="spellEnd"/>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Si</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75,4</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19,0</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5,6</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No</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40,9</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41,5</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17,6</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 xml:space="preserve">Tasa </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30,0</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9,6</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6,9</w:t>
            </w:r>
          </w:p>
        </w:tc>
      </w:tr>
      <w:tr w:rsidR="008E0628" w:rsidRPr="008E0628" w:rsidTr="00111BCB">
        <w:trPr>
          <w:jc w:val="center"/>
        </w:trPr>
        <w:tc>
          <w:tcPr>
            <w:tcW w:w="471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both"/>
              <w:rPr>
                <w:rFonts w:ascii="Verdana" w:hAnsi="Verdana" w:cs="Calibri"/>
                <w:sz w:val="20"/>
                <w:szCs w:val="20"/>
              </w:rPr>
            </w:pPr>
            <w:r w:rsidRPr="008E0628">
              <w:rPr>
                <w:rFonts w:ascii="Verdana" w:hAnsi="Verdana" w:cs="Calibri"/>
                <w:sz w:val="20"/>
                <w:szCs w:val="20"/>
              </w:rPr>
              <w:t>TOTAL (proyección población asalariada= 14.979.152)</w:t>
            </w:r>
          </w:p>
        </w:tc>
        <w:tc>
          <w:tcPr>
            <w:tcW w:w="1276"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7.104.670</w:t>
            </w:r>
          </w:p>
        </w:tc>
        <w:tc>
          <w:tcPr>
            <w:tcW w:w="127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5.578.573</w:t>
            </w:r>
          </w:p>
        </w:tc>
        <w:tc>
          <w:tcPr>
            <w:tcW w:w="1165" w:type="dxa"/>
            <w:tcBorders>
              <w:top w:val="single" w:sz="4" w:space="0" w:color="auto"/>
              <w:left w:val="single" w:sz="4" w:space="0" w:color="auto"/>
              <w:bottom w:val="single" w:sz="4" w:space="0" w:color="auto"/>
              <w:right w:val="single" w:sz="4" w:space="0" w:color="auto"/>
            </w:tcBorders>
          </w:tcPr>
          <w:p w:rsidR="008E0628" w:rsidRPr="008E0628" w:rsidRDefault="008E0628" w:rsidP="008E0628">
            <w:pPr>
              <w:keepNext/>
              <w:keepLines/>
              <w:spacing w:after="0" w:line="240" w:lineRule="auto"/>
              <w:jc w:val="center"/>
              <w:rPr>
                <w:rFonts w:ascii="Verdana" w:hAnsi="Verdana" w:cs="Calibri"/>
                <w:sz w:val="20"/>
                <w:szCs w:val="20"/>
                <w:lang w:val="en-US"/>
              </w:rPr>
            </w:pPr>
            <w:r w:rsidRPr="008E0628">
              <w:rPr>
                <w:rFonts w:ascii="Verdana" w:hAnsi="Verdana" w:cs="Calibri"/>
                <w:sz w:val="20"/>
                <w:szCs w:val="20"/>
                <w:lang w:val="en-US"/>
              </w:rPr>
              <w:t>2.295.909</w:t>
            </w:r>
          </w:p>
        </w:tc>
      </w:tr>
    </w:tbl>
    <w:p w:rsidR="008E0628" w:rsidRPr="008E0628" w:rsidRDefault="008E0628" w:rsidP="008E0628">
      <w:pPr>
        <w:keepNext/>
        <w:keepLines/>
        <w:spacing w:after="0" w:line="240" w:lineRule="auto"/>
        <w:jc w:val="center"/>
        <w:rPr>
          <w:rFonts w:ascii="Verdana" w:hAnsi="Verdana" w:cs="Calibri"/>
          <w:i/>
          <w:sz w:val="20"/>
          <w:szCs w:val="20"/>
        </w:rPr>
      </w:pPr>
      <w:r w:rsidRPr="008E0628">
        <w:rPr>
          <w:rFonts w:ascii="Verdana" w:hAnsi="Verdana" w:cs="Calibri"/>
          <w:sz w:val="20"/>
          <w:szCs w:val="20"/>
        </w:rPr>
        <w:t xml:space="preserve">Fuente: con datos del Ministerio de Trabajo, </w:t>
      </w:r>
      <w:r w:rsidRPr="008E0628">
        <w:rPr>
          <w:rFonts w:ascii="Verdana" w:hAnsi="Verdana" w:cs="Calibri"/>
          <w:i/>
          <w:sz w:val="20"/>
          <w:szCs w:val="20"/>
        </w:rPr>
        <w:t>Encuesta de Calidad de Vida en el Trabajo, 2010.</w:t>
      </w:r>
    </w:p>
    <w:p w:rsidR="008E0628" w:rsidRPr="008E0628" w:rsidRDefault="008E0628" w:rsidP="008E0628">
      <w:pPr>
        <w:spacing w:after="0" w:line="240" w:lineRule="auto"/>
        <w:jc w:val="both"/>
        <w:rPr>
          <w:rFonts w:ascii="Verdana" w:hAnsi="Verdana" w:cs="Calibri"/>
          <w:i/>
          <w:sz w:val="18"/>
          <w:szCs w:val="18"/>
        </w:rPr>
      </w:pPr>
    </w:p>
    <w:p w:rsidR="008E0628" w:rsidRPr="008E0628" w:rsidRDefault="008E0628" w:rsidP="008E0628">
      <w:pPr>
        <w:spacing w:after="0" w:line="240" w:lineRule="auto"/>
        <w:jc w:val="both"/>
        <w:rPr>
          <w:rFonts w:cs="Calibri"/>
        </w:rPr>
      </w:pPr>
      <w:r w:rsidRPr="008E0628">
        <w:rPr>
          <w:rFonts w:ascii="Verdana" w:hAnsi="Verdana" w:cs="Calibri"/>
        </w:rPr>
        <w:t>Especialmente significativa resulta la relación entre la afiliación (</w:t>
      </w:r>
      <w:r w:rsidRPr="008E0628">
        <w:rPr>
          <w:rFonts w:ascii="Verdana" w:hAnsi="Verdana" w:cs="Calibri"/>
          <w:i/>
        </w:rPr>
        <w:t>presencia</w:t>
      </w:r>
      <w:r w:rsidRPr="008E0628">
        <w:rPr>
          <w:rFonts w:ascii="Verdana" w:hAnsi="Verdana" w:cs="Calibri"/>
        </w:rPr>
        <w:t>) y la representación (</w:t>
      </w:r>
      <w:r w:rsidRPr="008E0628">
        <w:rPr>
          <w:rFonts w:ascii="Verdana" w:hAnsi="Verdana" w:cs="Calibri"/>
          <w:i/>
        </w:rPr>
        <w:t>audiencia</w:t>
      </w:r>
      <w:r w:rsidRPr="008E0628">
        <w:rPr>
          <w:rFonts w:ascii="Verdana" w:hAnsi="Verdana" w:cs="Calibri"/>
        </w:rPr>
        <w:t>) sindical, que por una parte eleva la tasa media de afiliación (del 18,9% hasta el 30%) entre los trabajadores que cuentan con representación elegida en sus empresas, y la r</w:t>
      </w:r>
      <w:r>
        <w:rPr>
          <w:rFonts w:ascii="Verdana" w:hAnsi="Verdana" w:cs="Calibri"/>
        </w:rPr>
        <w:t>ebaja hasta el 9,6% (ver tabla 3</w:t>
      </w:r>
      <w:r w:rsidRPr="008E0628">
        <w:rPr>
          <w:rFonts w:ascii="Verdana" w:hAnsi="Verdana" w:cs="Calibri"/>
        </w:rPr>
        <w:t>.7) entre quienes no disponen de la misma. Así como, correlativamente, la tasa media de cobertura de la representación crece hasta el 75,4% entre quienes declaran estar afiliados y desciende hasta el 40,9% entre quienes no l</w:t>
      </w:r>
      <w:r>
        <w:rPr>
          <w:rFonts w:ascii="Verdana" w:hAnsi="Verdana" w:cs="Calibri"/>
        </w:rPr>
        <w:t>o están. Asimismo, en la tabla 3</w:t>
      </w:r>
      <w:r w:rsidRPr="008E0628">
        <w:rPr>
          <w:rFonts w:ascii="Verdana" w:hAnsi="Verdana" w:cs="Calibri"/>
        </w:rPr>
        <w:t xml:space="preserve">.8 se observa, en las columnas con datos ECVT, que existe una correspondencia bastante precisa entre trabajadores que cuentan con representación sindical, la tasa de afiliación sindical y el grado de información que tienen los asalariados </w:t>
      </w:r>
      <w:r w:rsidRPr="008E0628">
        <w:rPr>
          <w:rFonts w:ascii="Verdana" w:hAnsi="Verdana" w:cs="Calibri"/>
        </w:rPr>
        <w:lastRenderedPageBreak/>
        <w:t>sobre el convenio colectivo (fruto de la representación sindical). Por ejemplo, todos los porcentajes asociados con estas variables aumentan con el incremento de tramo de plantilla de la empresa; asimismo, son más elevados en los sectores de servicios financieros, transportes y comunicaciones, industria o servicios públicos. El tipo de contrato también muestra la diferencia entre indefinidos y temporales en todos estos conceptos. Del mismo modo, en la tabla 2.9, y con datos de ECVT 2010, se contempla como los segmentos con mayor representación también tienen mayor afiliación (o viceversa): hombres, maduros, con estudios secundarios y universitarios, técnicos, del sector público. Sólo se aprecia una variación en la ocupación: los trabajadores manuales cualificados y no cualificados, tienen más afiliación que los administrativos que, en cambio, tienen mayor representación.</w:t>
      </w:r>
    </w:p>
    <w:p w:rsidR="008E0628" w:rsidRPr="008E0628" w:rsidRDefault="008E0628" w:rsidP="008E0628">
      <w:pPr>
        <w:keepNext/>
        <w:keepLines/>
        <w:spacing w:after="0" w:line="240" w:lineRule="auto"/>
        <w:jc w:val="center"/>
        <w:rPr>
          <w:lang w:val="ca-ES"/>
        </w:rPr>
      </w:pPr>
    </w:p>
    <w:p w:rsidR="008E0628" w:rsidRDefault="008E0628" w:rsidP="008E0628">
      <w:pPr>
        <w:keepNext/>
        <w:keepLines/>
        <w:spacing w:after="0" w:line="240" w:lineRule="auto"/>
        <w:jc w:val="center"/>
      </w:pPr>
      <w:r>
        <w:t>Tabla 3</w:t>
      </w:r>
      <w:r w:rsidRPr="008E0628">
        <w:t>.8. Representación sindical en la empresa  y afiliación sindical (en %)</w:t>
      </w:r>
    </w:p>
    <w:p w:rsidR="008E0628" w:rsidRPr="008E0628" w:rsidRDefault="008E0628" w:rsidP="008E0628">
      <w:pPr>
        <w:keepNext/>
        <w:keepLines/>
        <w:spacing w:after="0" w:line="240" w:lineRule="auto"/>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522"/>
        <w:gridCol w:w="1313"/>
        <w:gridCol w:w="1559"/>
        <w:gridCol w:w="1656"/>
      </w:tblGrid>
      <w:tr w:rsidR="008E0628" w:rsidRPr="008E0628" w:rsidTr="00111BCB">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BFBFBF"/>
          </w:tcPr>
          <w:p w:rsidR="008E0628" w:rsidRPr="008E0628" w:rsidRDefault="008E0628" w:rsidP="008E0628">
            <w:pPr>
              <w:keepNext/>
              <w:keepLines/>
              <w:spacing w:after="0" w:line="240" w:lineRule="auto"/>
              <w:jc w:val="center"/>
              <w:rPr>
                <w:rFonts w:cs="Calibri"/>
                <w:b/>
                <w:sz w:val="18"/>
                <w:szCs w:val="18"/>
              </w:rPr>
            </w:pPr>
            <w:r w:rsidRPr="008E0628">
              <w:rPr>
                <w:rFonts w:cs="Calibri"/>
                <w:b/>
                <w:sz w:val="18"/>
                <w:szCs w:val="18"/>
              </w:rPr>
              <w:t> </w:t>
            </w:r>
          </w:p>
        </w:tc>
        <w:tc>
          <w:tcPr>
            <w:tcW w:w="1522" w:type="dxa"/>
            <w:tcBorders>
              <w:top w:val="single" w:sz="4" w:space="0" w:color="auto"/>
              <w:left w:val="single" w:sz="4" w:space="0" w:color="auto"/>
              <w:bottom w:val="single" w:sz="4" w:space="0" w:color="auto"/>
              <w:right w:val="single" w:sz="4" w:space="0" w:color="auto"/>
            </w:tcBorders>
            <w:shd w:val="clear" w:color="auto" w:fill="BFBFBF"/>
            <w:vAlign w:val="bottom"/>
          </w:tcPr>
          <w:p w:rsidR="008E0628" w:rsidRPr="008E0628" w:rsidRDefault="008E0628" w:rsidP="008E0628">
            <w:pPr>
              <w:keepNext/>
              <w:keepLines/>
              <w:spacing w:after="0" w:line="240" w:lineRule="auto"/>
              <w:jc w:val="center"/>
              <w:rPr>
                <w:rFonts w:cs="Calibri"/>
                <w:b/>
                <w:sz w:val="20"/>
                <w:szCs w:val="20"/>
              </w:rPr>
            </w:pPr>
            <w:r w:rsidRPr="008E0628">
              <w:rPr>
                <w:rFonts w:cs="Calibri"/>
                <w:b/>
                <w:sz w:val="20"/>
                <w:szCs w:val="20"/>
              </w:rPr>
              <w:t xml:space="preserve">Trabajadores con representación sindical en la empresa </w:t>
            </w:r>
          </w:p>
        </w:tc>
        <w:tc>
          <w:tcPr>
            <w:tcW w:w="1313" w:type="dxa"/>
            <w:tcBorders>
              <w:top w:val="single" w:sz="4" w:space="0" w:color="auto"/>
              <w:left w:val="single" w:sz="4" w:space="0" w:color="auto"/>
              <w:bottom w:val="single" w:sz="4" w:space="0" w:color="auto"/>
              <w:right w:val="single" w:sz="4" w:space="0" w:color="auto"/>
            </w:tcBorders>
            <w:shd w:val="clear" w:color="auto" w:fill="BFBFBF"/>
            <w:vAlign w:val="bottom"/>
          </w:tcPr>
          <w:p w:rsidR="008E0628" w:rsidRPr="008E0628" w:rsidRDefault="008E0628" w:rsidP="008E0628">
            <w:pPr>
              <w:keepNext/>
              <w:keepLines/>
              <w:spacing w:after="0" w:line="240" w:lineRule="auto"/>
              <w:jc w:val="center"/>
              <w:rPr>
                <w:rFonts w:cs="Calibri"/>
                <w:b/>
                <w:sz w:val="20"/>
                <w:szCs w:val="20"/>
                <w:lang w:val="en-US"/>
              </w:rPr>
            </w:pPr>
            <w:proofErr w:type="spellStart"/>
            <w:r w:rsidRPr="008E0628">
              <w:rPr>
                <w:rFonts w:cs="Calibri"/>
                <w:b/>
                <w:sz w:val="20"/>
                <w:szCs w:val="20"/>
                <w:lang w:val="en-US"/>
              </w:rPr>
              <w:t>Tasa</w:t>
            </w:r>
            <w:proofErr w:type="spellEnd"/>
            <w:r w:rsidRPr="008E0628">
              <w:rPr>
                <w:rFonts w:cs="Calibri"/>
                <w:b/>
                <w:sz w:val="20"/>
                <w:szCs w:val="20"/>
                <w:lang w:val="en-US"/>
              </w:rPr>
              <w:t xml:space="preserve"> </w:t>
            </w:r>
            <w:proofErr w:type="spellStart"/>
            <w:r w:rsidRPr="008E0628">
              <w:rPr>
                <w:rFonts w:cs="Calibri"/>
                <w:b/>
                <w:sz w:val="20"/>
                <w:szCs w:val="20"/>
                <w:lang w:val="en-US"/>
              </w:rPr>
              <w:t>afiliación</w:t>
            </w:r>
            <w:proofErr w:type="spellEnd"/>
            <w:r w:rsidRPr="008E0628">
              <w:rPr>
                <w:rFonts w:cs="Calibri"/>
                <w:b/>
                <w:sz w:val="20"/>
                <w:szCs w:val="20"/>
                <w:lang w:val="en-US"/>
              </w:rPr>
              <w:t xml:space="preserve"> </w:t>
            </w:r>
            <w:proofErr w:type="spellStart"/>
            <w:r w:rsidRPr="008E0628">
              <w:rPr>
                <w:rFonts w:cs="Calibri"/>
                <w:b/>
                <w:sz w:val="20"/>
                <w:szCs w:val="20"/>
                <w:lang w:val="en-US"/>
              </w:rPr>
              <w:t>sindical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BFBFBF"/>
            <w:vAlign w:val="bottom"/>
          </w:tcPr>
          <w:p w:rsidR="008E0628" w:rsidRPr="008E0628" w:rsidRDefault="008E0628" w:rsidP="008E0628">
            <w:pPr>
              <w:keepNext/>
              <w:keepLines/>
              <w:spacing w:after="0" w:line="240" w:lineRule="auto"/>
              <w:jc w:val="center"/>
              <w:rPr>
                <w:rFonts w:cs="Calibri"/>
                <w:b/>
                <w:sz w:val="20"/>
                <w:szCs w:val="20"/>
              </w:rPr>
            </w:pPr>
            <w:r w:rsidRPr="008E0628">
              <w:rPr>
                <w:rFonts w:cs="Calibri"/>
                <w:b/>
                <w:sz w:val="20"/>
                <w:szCs w:val="20"/>
              </w:rPr>
              <w:t>Trabajadores que saben disponen de convenio colectivo</w:t>
            </w:r>
          </w:p>
        </w:tc>
        <w:tc>
          <w:tcPr>
            <w:tcW w:w="1656" w:type="dxa"/>
            <w:tcBorders>
              <w:top w:val="single" w:sz="4" w:space="0" w:color="auto"/>
              <w:left w:val="single" w:sz="4" w:space="0" w:color="auto"/>
              <w:bottom w:val="single" w:sz="4" w:space="0" w:color="auto"/>
              <w:right w:val="single" w:sz="4" w:space="0" w:color="auto"/>
            </w:tcBorders>
            <w:shd w:val="clear" w:color="auto" w:fill="BFBFBF"/>
            <w:vAlign w:val="bottom"/>
          </w:tcPr>
          <w:p w:rsidR="008E0628" w:rsidRPr="008E0628" w:rsidRDefault="008E0628" w:rsidP="008E0628">
            <w:pPr>
              <w:keepNext/>
              <w:keepLines/>
              <w:spacing w:after="0" w:line="240" w:lineRule="auto"/>
              <w:jc w:val="center"/>
              <w:rPr>
                <w:rFonts w:cs="Calibri"/>
                <w:b/>
                <w:sz w:val="20"/>
                <w:szCs w:val="20"/>
              </w:rPr>
            </w:pPr>
            <w:r w:rsidRPr="008E0628">
              <w:rPr>
                <w:rFonts w:cs="Calibri"/>
                <w:b/>
                <w:sz w:val="20"/>
                <w:szCs w:val="20"/>
              </w:rPr>
              <w:t>Empresas de 6 o más trabajadores con representación sindical</w:t>
            </w:r>
          </w:p>
        </w:tc>
      </w:tr>
      <w:tr w:rsidR="008E0628" w:rsidRPr="008E0628" w:rsidTr="00111BCB">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BFBFBF"/>
          </w:tcPr>
          <w:p w:rsidR="008E0628" w:rsidRPr="008E0628" w:rsidRDefault="008E0628" w:rsidP="008E0628">
            <w:pPr>
              <w:keepNext/>
              <w:keepLines/>
              <w:spacing w:after="0" w:line="240" w:lineRule="auto"/>
              <w:jc w:val="center"/>
              <w:rPr>
                <w:rFonts w:cs="Calibri"/>
                <w:b/>
                <w:sz w:val="18"/>
                <w:szCs w:val="18"/>
              </w:rPr>
            </w:pPr>
          </w:p>
        </w:tc>
        <w:tc>
          <w:tcPr>
            <w:tcW w:w="1522" w:type="dxa"/>
            <w:tcBorders>
              <w:top w:val="single" w:sz="4" w:space="0" w:color="auto"/>
              <w:left w:val="single" w:sz="4" w:space="0" w:color="auto"/>
              <w:bottom w:val="single" w:sz="4" w:space="0" w:color="auto"/>
              <w:right w:val="single" w:sz="4" w:space="0" w:color="auto"/>
            </w:tcBorders>
            <w:shd w:val="clear" w:color="auto" w:fill="BFBFBF"/>
            <w:vAlign w:val="bottom"/>
          </w:tcPr>
          <w:p w:rsidR="008E0628" w:rsidRPr="008E0628" w:rsidRDefault="008E0628" w:rsidP="008E0628">
            <w:pPr>
              <w:keepNext/>
              <w:keepLines/>
              <w:spacing w:after="0" w:line="240" w:lineRule="auto"/>
              <w:jc w:val="center"/>
              <w:rPr>
                <w:rFonts w:cs="Calibri"/>
                <w:b/>
                <w:sz w:val="20"/>
                <w:szCs w:val="20"/>
                <w:lang w:val="en-US"/>
              </w:rPr>
            </w:pPr>
            <w:r w:rsidRPr="008E0628">
              <w:rPr>
                <w:rFonts w:cs="Calibri"/>
                <w:b/>
                <w:sz w:val="20"/>
                <w:szCs w:val="20"/>
                <w:lang w:val="en-US"/>
              </w:rPr>
              <w:t>(ECVT 2010)</w:t>
            </w:r>
          </w:p>
        </w:tc>
        <w:tc>
          <w:tcPr>
            <w:tcW w:w="1313" w:type="dxa"/>
            <w:tcBorders>
              <w:top w:val="single" w:sz="4" w:space="0" w:color="auto"/>
              <w:left w:val="single" w:sz="4" w:space="0" w:color="auto"/>
              <w:bottom w:val="single" w:sz="4" w:space="0" w:color="auto"/>
              <w:right w:val="single" w:sz="4" w:space="0" w:color="auto"/>
            </w:tcBorders>
            <w:shd w:val="clear" w:color="auto" w:fill="BFBFBF"/>
            <w:vAlign w:val="bottom"/>
          </w:tcPr>
          <w:p w:rsidR="008E0628" w:rsidRPr="008E0628" w:rsidRDefault="008E0628" w:rsidP="008E0628">
            <w:pPr>
              <w:keepNext/>
              <w:keepLines/>
              <w:spacing w:after="0" w:line="240" w:lineRule="auto"/>
              <w:jc w:val="center"/>
              <w:rPr>
                <w:rFonts w:cs="Calibri"/>
                <w:b/>
                <w:sz w:val="20"/>
                <w:szCs w:val="20"/>
                <w:lang w:val="en-US"/>
              </w:rPr>
            </w:pPr>
            <w:r w:rsidRPr="008E0628">
              <w:rPr>
                <w:rFonts w:cs="Calibri"/>
                <w:b/>
                <w:sz w:val="20"/>
                <w:szCs w:val="20"/>
                <w:lang w:val="en-US"/>
              </w:rPr>
              <w:t>(ECVT 2010)</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bottom"/>
          </w:tcPr>
          <w:p w:rsidR="008E0628" w:rsidRPr="008E0628" w:rsidRDefault="008E0628" w:rsidP="008E0628">
            <w:pPr>
              <w:keepNext/>
              <w:keepLines/>
              <w:spacing w:after="0" w:line="240" w:lineRule="auto"/>
              <w:jc w:val="center"/>
              <w:rPr>
                <w:rFonts w:cs="Calibri"/>
                <w:b/>
                <w:sz w:val="20"/>
                <w:szCs w:val="20"/>
                <w:lang w:val="en-US"/>
              </w:rPr>
            </w:pPr>
            <w:r w:rsidRPr="008E0628">
              <w:rPr>
                <w:rFonts w:cs="Calibri"/>
                <w:b/>
                <w:sz w:val="20"/>
                <w:szCs w:val="20"/>
                <w:lang w:val="en-US"/>
              </w:rPr>
              <w:t>(ECVT 2010)</w:t>
            </w:r>
          </w:p>
        </w:tc>
        <w:tc>
          <w:tcPr>
            <w:tcW w:w="1656" w:type="dxa"/>
            <w:tcBorders>
              <w:top w:val="single" w:sz="4" w:space="0" w:color="auto"/>
              <w:left w:val="single" w:sz="4" w:space="0" w:color="auto"/>
              <w:bottom w:val="single" w:sz="4" w:space="0" w:color="auto"/>
              <w:right w:val="single" w:sz="4" w:space="0" w:color="auto"/>
            </w:tcBorders>
            <w:shd w:val="clear" w:color="auto" w:fill="BFBFBF"/>
            <w:vAlign w:val="bottom"/>
          </w:tcPr>
          <w:p w:rsidR="008E0628" w:rsidRPr="008E0628" w:rsidRDefault="008E0628" w:rsidP="008E0628">
            <w:pPr>
              <w:keepNext/>
              <w:keepLines/>
              <w:spacing w:after="0" w:line="240" w:lineRule="auto"/>
              <w:jc w:val="center"/>
              <w:rPr>
                <w:rFonts w:cs="Calibri"/>
                <w:b/>
                <w:sz w:val="20"/>
                <w:szCs w:val="20"/>
                <w:lang w:val="en-US"/>
              </w:rPr>
            </w:pPr>
            <w:r w:rsidRPr="008E0628">
              <w:rPr>
                <w:rFonts w:cs="Calibri"/>
                <w:b/>
                <w:sz w:val="20"/>
                <w:szCs w:val="20"/>
                <w:lang w:val="en-US"/>
              </w:rPr>
              <w:t>(SIC 2012)</w:t>
            </w:r>
          </w:p>
        </w:tc>
      </w:tr>
      <w:tr w:rsidR="008E0628" w:rsidRPr="008E0628" w:rsidTr="00111BCB">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E0628" w:rsidRPr="008E0628" w:rsidRDefault="008E0628" w:rsidP="008E0628">
            <w:pPr>
              <w:keepNext/>
              <w:keepLines/>
              <w:spacing w:after="0" w:line="240" w:lineRule="auto"/>
              <w:rPr>
                <w:rFonts w:cs="Calibri"/>
                <w:b/>
                <w:sz w:val="20"/>
                <w:szCs w:val="20"/>
                <w:lang w:val="en-US"/>
              </w:rPr>
            </w:pPr>
            <w:r w:rsidRPr="008E0628">
              <w:rPr>
                <w:rFonts w:cs="Calibri"/>
                <w:b/>
                <w:sz w:val="20"/>
                <w:szCs w:val="20"/>
                <w:lang w:val="en-US"/>
              </w:rPr>
              <w:t>TOTAL</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8E0628" w:rsidRPr="008E0628" w:rsidRDefault="008E0628" w:rsidP="008E0628">
            <w:pPr>
              <w:keepNext/>
              <w:keepLines/>
              <w:spacing w:after="0" w:line="240" w:lineRule="auto"/>
              <w:jc w:val="center"/>
              <w:rPr>
                <w:rFonts w:cs="Calibri"/>
                <w:b/>
                <w:sz w:val="20"/>
                <w:szCs w:val="20"/>
                <w:lang w:val="en-US"/>
              </w:rPr>
            </w:pPr>
            <w:r w:rsidRPr="008E0628">
              <w:rPr>
                <w:rFonts w:cs="Calibri"/>
                <w:b/>
                <w:sz w:val="20"/>
                <w:szCs w:val="20"/>
                <w:lang w:val="en-US"/>
              </w:rPr>
              <w:t>47,4</w:t>
            </w: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8E0628" w:rsidRPr="008E0628" w:rsidRDefault="008E0628" w:rsidP="008E0628">
            <w:pPr>
              <w:keepNext/>
              <w:keepLines/>
              <w:spacing w:after="0" w:line="240" w:lineRule="auto"/>
              <w:jc w:val="center"/>
              <w:rPr>
                <w:rFonts w:cs="Calibri"/>
                <w:b/>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E0628" w:rsidRPr="008E0628" w:rsidRDefault="008E0628" w:rsidP="008E0628">
            <w:pPr>
              <w:keepNext/>
              <w:keepLines/>
              <w:spacing w:after="0" w:line="240" w:lineRule="auto"/>
              <w:jc w:val="center"/>
              <w:rPr>
                <w:rFonts w:cs="Calibri"/>
                <w:b/>
                <w:sz w:val="20"/>
                <w:szCs w:val="20"/>
                <w:lang w:val="en-US"/>
              </w:rPr>
            </w:pPr>
            <w:r w:rsidRPr="008E0628">
              <w:rPr>
                <w:rFonts w:cs="Calibri"/>
                <w:b/>
                <w:sz w:val="20"/>
                <w:szCs w:val="20"/>
                <w:lang w:val="en-US"/>
              </w:rPr>
              <w:t>37</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8E0628" w:rsidRPr="008E0628" w:rsidRDefault="008E0628" w:rsidP="008E0628">
            <w:pPr>
              <w:keepNext/>
              <w:keepLines/>
              <w:spacing w:after="0" w:line="240" w:lineRule="auto"/>
              <w:jc w:val="center"/>
              <w:rPr>
                <w:rFonts w:cs="Calibri"/>
                <w:b/>
                <w:sz w:val="20"/>
                <w:szCs w:val="20"/>
                <w:lang w:val="en-US"/>
              </w:rPr>
            </w:pPr>
            <w:r w:rsidRPr="008E0628">
              <w:rPr>
                <w:rFonts w:cs="Calibri"/>
                <w:b/>
                <w:sz w:val="20"/>
                <w:szCs w:val="20"/>
                <w:lang w:val="en-US"/>
              </w:rPr>
              <w:t>20,6</w:t>
            </w:r>
          </w:p>
        </w:tc>
      </w:tr>
      <w:tr w:rsidR="008E0628" w:rsidRPr="008E0628" w:rsidTr="00111BCB">
        <w:trPr>
          <w:trHeight w:val="340"/>
        </w:trPr>
        <w:tc>
          <w:tcPr>
            <w:tcW w:w="8744" w:type="dxa"/>
            <w:gridSpan w:val="5"/>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r w:rsidRPr="008E0628">
              <w:rPr>
                <w:rFonts w:cs="Calibri"/>
                <w:color w:val="000000"/>
                <w:sz w:val="20"/>
                <w:szCs w:val="20"/>
                <w:lang w:val="en-US" w:eastAsia="es-ES"/>
              </w:rPr>
              <w:t>SEGÚN TAMAÑO EMPRESA</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r w:rsidRPr="008E0628">
              <w:rPr>
                <w:rFonts w:cs="Calibri"/>
                <w:color w:val="000000"/>
                <w:sz w:val="20"/>
                <w:szCs w:val="20"/>
                <w:lang w:val="en-US" w:eastAsia="es-ES"/>
              </w:rPr>
              <w:t xml:space="preserve">De </w:t>
            </w:r>
            <w:smartTag w:uri="urn:schemas-microsoft-com:office:smarttags" w:element="metricconverter">
              <w:smartTagPr>
                <w:attr w:name="ProductID" w:val="1 a"/>
              </w:smartTagPr>
              <w:r w:rsidRPr="008E0628">
                <w:rPr>
                  <w:rFonts w:cs="Calibri"/>
                  <w:color w:val="000000"/>
                  <w:sz w:val="20"/>
                  <w:szCs w:val="20"/>
                  <w:lang w:val="en-US" w:eastAsia="es-ES"/>
                </w:rPr>
                <w:t>1 a</w:t>
              </w:r>
            </w:smartTag>
            <w:r w:rsidRPr="008E0628">
              <w:rPr>
                <w:rFonts w:cs="Calibri"/>
                <w:color w:val="000000"/>
                <w:sz w:val="20"/>
                <w:szCs w:val="20"/>
                <w:lang w:val="en-US" w:eastAsia="es-ES"/>
              </w:rPr>
              <w:t xml:space="preserve"> 9 </w:t>
            </w:r>
            <w:proofErr w:type="spellStart"/>
            <w:r w:rsidRPr="008E0628">
              <w:rPr>
                <w:rFonts w:cs="Calibri"/>
                <w:color w:val="000000"/>
                <w:sz w:val="20"/>
                <w:szCs w:val="20"/>
                <w:lang w:val="en-US" w:eastAsia="es-ES"/>
              </w:rPr>
              <w:t>trabajadores</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9,9</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11,3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17,6</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r w:rsidRPr="008E0628">
              <w:rPr>
                <w:rFonts w:cs="Calibri"/>
                <w:color w:val="000000"/>
                <w:sz w:val="20"/>
                <w:szCs w:val="20"/>
                <w:lang w:val="en-US" w:eastAsia="es-ES"/>
              </w:rPr>
              <w:t xml:space="preserve">De </w:t>
            </w:r>
            <w:smartTag w:uri="urn:schemas-microsoft-com:office:smarttags" w:element="metricconverter">
              <w:smartTagPr>
                <w:attr w:name="ProductID" w:val="10 a"/>
              </w:smartTagPr>
              <w:r w:rsidRPr="008E0628">
                <w:rPr>
                  <w:rFonts w:cs="Calibri"/>
                  <w:color w:val="000000"/>
                  <w:sz w:val="20"/>
                  <w:szCs w:val="20"/>
                  <w:lang w:val="en-US" w:eastAsia="es-ES"/>
                </w:rPr>
                <w:t>10 a</w:t>
              </w:r>
            </w:smartTag>
            <w:r w:rsidRPr="008E0628">
              <w:rPr>
                <w:rFonts w:cs="Calibri"/>
                <w:color w:val="000000"/>
                <w:sz w:val="20"/>
                <w:szCs w:val="20"/>
                <w:lang w:val="en-US" w:eastAsia="es-ES"/>
              </w:rPr>
              <w:t xml:space="preserve"> 49</w:t>
            </w:r>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32,6</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20,2</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27,8</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14,9</w:t>
            </w:r>
            <w:r w:rsidRPr="008E0628">
              <w:rPr>
                <w:color w:val="000000"/>
                <w:sz w:val="20"/>
                <w:szCs w:val="20"/>
                <w:vertAlign w:val="superscript"/>
                <w:lang w:val="en-US" w:eastAsia="es-ES"/>
              </w:rPr>
              <w:t>1</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r w:rsidRPr="008E0628">
              <w:rPr>
                <w:rFonts w:cs="Calibri"/>
                <w:color w:val="000000"/>
                <w:sz w:val="20"/>
                <w:szCs w:val="20"/>
                <w:lang w:val="en-US" w:eastAsia="es-ES"/>
              </w:rPr>
              <w:t xml:space="preserve">De </w:t>
            </w:r>
            <w:smartTag w:uri="urn:schemas-microsoft-com:office:smarttags" w:element="metricconverter">
              <w:smartTagPr>
                <w:attr w:name="ProductID" w:val="50 a"/>
              </w:smartTagPr>
              <w:r w:rsidRPr="008E0628">
                <w:rPr>
                  <w:rFonts w:cs="Calibri"/>
                  <w:color w:val="000000"/>
                  <w:sz w:val="20"/>
                  <w:szCs w:val="20"/>
                  <w:lang w:val="en-US" w:eastAsia="es-ES"/>
                </w:rPr>
                <w:t>50 a</w:t>
              </w:r>
            </w:smartTag>
            <w:r w:rsidRPr="008E0628">
              <w:rPr>
                <w:rFonts w:cs="Calibri"/>
                <w:color w:val="000000"/>
                <w:sz w:val="20"/>
                <w:szCs w:val="20"/>
                <w:lang w:val="en-US" w:eastAsia="es-ES"/>
              </w:rPr>
              <w:t xml:space="preserve"> 249</w:t>
            </w:r>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58,8</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24,1</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43,6</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50,1</w:t>
            </w:r>
            <w:r w:rsidRPr="008E0628">
              <w:rPr>
                <w:color w:val="000000"/>
                <w:sz w:val="20"/>
                <w:szCs w:val="20"/>
                <w:vertAlign w:val="superscript"/>
                <w:lang w:val="en-US" w:eastAsia="es-ES"/>
              </w:rPr>
              <w:t>2</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r w:rsidRPr="008E0628">
              <w:rPr>
                <w:rFonts w:cs="Calibri"/>
                <w:color w:val="000000"/>
                <w:sz w:val="20"/>
                <w:szCs w:val="20"/>
                <w:lang w:val="en-US" w:eastAsia="es-ES"/>
              </w:rPr>
              <w:t xml:space="preserve">De 250 y </w:t>
            </w:r>
            <w:proofErr w:type="spellStart"/>
            <w:r w:rsidRPr="008E0628">
              <w:rPr>
                <w:rFonts w:cs="Calibri"/>
                <w:color w:val="000000"/>
                <w:sz w:val="20"/>
                <w:szCs w:val="20"/>
                <w:lang w:val="en-US" w:eastAsia="es-ES"/>
              </w:rPr>
              <w:t>más</w:t>
            </w:r>
            <w:proofErr w:type="spellEnd"/>
            <w:r w:rsidRPr="008E0628">
              <w:rPr>
                <w:rFonts w:cs="Calibri"/>
                <w:color w:val="000000"/>
                <w:sz w:val="20"/>
                <w:szCs w:val="20"/>
                <w:lang w:val="en-US" w:eastAsia="es-ES"/>
              </w:rPr>
              <w:t xml:space="preserve"> </w:t>
            </w:r>
            <w:proofErr w:type="spellStart"/>
            <w:r w:rsidRPr="008E0628">
              <w:rPr>
                <w:rFonts w:cs="Calibri"/>
                <w:color w:val="000000"/>
                <w:sz w:val="20"/>
                <w:szCs w:val="20"/>
                <w:lang w:val="en-US" w:eastAsia="es-ES"/>
              </w:rPr>
              <w:t>trabajadores</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73,9</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30,3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51,2</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61,3</w:t>
            </w:r>
            <w:r w:rsidRPr="008E0628">
              <w:rPr>
                <w:color w:val="000000"/>
                <w:sz w:val="20"/>
                <w:szCs w:val="20"/>
                <w:vertAlign w:val="superscript"/>
                <w:lang w:val="en-US" w:eastAsia="es-ES"/>
              </w:rPr>
              <w:t>3</w:t>
            </w:r>
          </w:p>
        </w:tc>
      </w:tr>
      <w:tr w:rsidR="008E0628" w:rsidRPr="008E0628" w:rsidTr="00111BCB">
        <w:trPr>
          <w:trHeight w:val="340"/>
        </w:trPr>
        <w:tc>
          <w:tcPr>
            <w:tcW w:w="8744" w:type="dxa"/>
            <w:gridSpan w:val="5"/>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r w:rsidRPr="008E0628">
              <w:rPr>
                <w:rFonts w:cs="Calibri"/>
                <w:color w:val="000000"/>
                <w:sz w:val="20"/>
                <w:szCs w:val="20"/>
                <w:lang w:val="en-US" w:eastAsia="es-ES"/>
              </w:rPr>
              <w:t>SEGÚN SECTOR DE ACTIVIDAD</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proofErr w:type="spellStart"/>
            <w:r w:rsidRPr="008E0628">
              <w:rPr>
                <w:rFonts w:cs="Calibri"/>
                <w:color w:val="000000"/>
                <w:sz w:val="20"/>
                <w:szCs w:val="20"/>
                <w:lang w:val="en-US" w:eastAsia="es-ES"/>
              </w:rPr>
              <w:t>Agricultura</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31,6</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8,1</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13,5</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15,1</w:t>
            </w:r>
            <w:r w:rsidRPr="008E0628">
              <w:rPr>
                <w:rFonts w:cs="Arial"/>
                <w:color w:val="000000"/>
                <w:sz w:val="20"/>
                <w:szCs w:val="20"/>
                <w:vertAlign w:val="superscript"/>
                <w:lang w:val="en-US" w:eastAsia="es-ES"/>
              </w:rPr>
              <w:t>4</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proofErr w:type="spellStart"/>
            <w:r w:rsidRPr="008E0628">
              <w:rPr>
                <w:rFonts w:cs="Calibri"/>
                <w:color w:val="000000"/>
                <w:sz w:val="20"/>
                <w:szCs w:val="20"/>
                <w:lang w:val="en-US" w:eastAsia="es-ES"/>
              </w:rPr>
              <w:t>Industria</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57</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22,4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44,9</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33,2</w:t>
            </w:r>
            <w:r w:rsidRPr="008E0628">
              <w:rPr>
                <w:rFonts w:cs="Arial"/>
                <w:color w:val="000000"/>
                <w:sz w:val="20"/>
                <w:szCs w:val="20"/>
                <w:vertAlign w:val="superscript"/>
                <w:lang w:val="en-US" w:eastAsia="es-ES"/>
              </w:rPr>
              <w:t>5</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proofErr w:type="spellStart"/>
            <w:r w:rsidRPr="008E0628">
              <w:rPr>
                <w:rFonts w:cs="Calibri"/>
                <w:color w:val="000000"/>
                <w:sz w:val="20"/>
                <w:szCs w:val="20"/>
                <w:lang w:val="en-US" w:eastAsia="es-ES"/>
              </w:rPr>
              <w:t>Construcción</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31,5</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12,2</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30,1</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20,3</w:t>
            </w:r>
            <w:r w:rsidRPr="008E0628">
              <w:rPr>
                <w:rFonts w:cs="Arial"/>
                <w:color w:val="000000"/>
                <w:sz w:val="20"/>
                <w:szCs w:val="20"/>
                <w:vertAlign w:val="superscript"/>
                <w:lang w:val="en-US" w:eastAsia="es-ES"/>
              </w:rPr>
              <w:t>6</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proofErr w:type="spellStart"/>
            <w:r w:rsidRPr="008E0628">
              <w:rPr>
                <w:rFonts w:cs="Calibri"/>
                <w:color w:val="000000"/>
                <w:sz w:val="20"/>
                <w:szCs w:val="20"/>
                <w:lang w:val="en-US" w:eastAsia="es-ES"/>
              </w:rPr>
              <w:t>Comercio</w:t>
            </w:r>
            <w:proofErr w:type="spellEnd"/>
            <w:r w:rsidRPr="008E0628">
              <w:rPr>
                <w:rFonts w:cs="Calibri"/>
                <w:color w:val="000000"/>
                <w:sz w:val="20"/>
                <w:szCs w:val="20"/>
                <w:lang w:val="en-US" w:eastAsia="es-ES"/>
              </w:rPr>
              <w:t xml:space="preserve"> y </w:t>
            </w:r>
            <w:proofErr w:type="spellStart"/>
            <w:r w:rsidRPr="008E0628">
              <w:rPr>
                <w:rFonts w:cs="Calibri"/>
                <w:color w:val="000000"/>
                <w:sz w:val="20"/>
                <w:szCs w:val="20"/>
                <w:lang w:val="en-US" w:eastAsia="es-ES"/>
              </w:rPr>
              <w:t>hostelería</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34,3</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10,9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28,5</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12,5</w:t>
            </w:r>
            <w:r w:rsidRPr="008E0628">
              <w:rPr>
                <w:rFonts w:cs="Arial"/>
                <w:color w:val="000000"/>
                <w:sz w:val="20"/>
                <w:szCs w:val="20"/>
                <w:vertAlign w:val="superscript"/>
                <w:lang w:val="en-US" w:eastAsia="es-ES"/>
              </w:rPr>
              <w:t>7</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proofErr w:type="spellStart"/>
            <w:r w:rsidRPr="008E0628">
              <w:rPr>
                <w:rFonts w:cs="Calibri"/>
                <w:color w:val="000000"/>
                <w:sz w:val="20"/>
                <w:szCs w:val="20"/>
                <w:lang w:val="en-US" w:eastAsia="es-ES"/>
              </w:rPr>
              <w:t>Transportes</w:t>
            </w:r>
            <w:proofErr w:type="spellEnd"/>
            <w:r w:rsidRPr="008E0628">
              <w:rPr>
                <w:rFonts w:cs="Calibri"/>
                <w:color w:val="000000"/>
                <w:sz w:val="20"/>
                <w:szCs w:val="20"/>
                <w:lang w:val="en-US" w:eastAsia="es-ES"/>
              </w:rPr>
              <w:t xml:space="preserve"> y </w:t>
            </w:r>
            <w:proofErr w:type="spellStart"/>
            <w:r w:rsidRPr="008E0628">
              <w:rPr>
                <w:rFonts w:cs="Calibri"/>
                <w:color w:val="000000"/>
                <w:sz w:val="20"/>
                <w:szCs w:val="20"/>
                <w:lang w:val="en-US" w:eastAsia="es-ES"/>
              </w:rPr>
              <w:t>comunicaciones</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59,7</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23,6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51,4</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proofErr w:type="spellStart"/>
            <w:r w:rsidRPr="008E0628">
              <w:rPr>
                <w:rFonts w:cs="Calibri"/>
                <w:color w:val="000000"/>
                <w:sz w:val="20"/>
                <w:szCs w:val="20"/>
                <w:lang w:val="en-US" w:eastAsia="es-ES"/>
              </w:rPr>
              <w:t>Servicios</w:t>
            </w:r>
            <w:proofErr w:type="spellEnd"/>
            <w:r w:rsidRPr="008E0628">
              <w:rPr>
                <w:rFonts w:cs="Calibri"/>
                <w:color w:val="000000"/>
                <w:sz w:val="20"/>
                <w:szCs w:val="20"/>
                <w:lang w:val="en-US" w:eastAsia="es-ES"/>
              </w:rPr>
              <w:t xml:space="preserve"> </w:t>
            </w:r>
            <w:proofErr w:type="spellStart"/>
            <w:r w:rsidRPr="008E0628">
              <w:rPr>
                <w:rFonts w:cs="Calibri"/>
                <w:color w:val="000000"/>
                <w:sz w:val="20"/>
                <w:szCs w:val="20"/>
                <w:lang w:val="en-US" w:eastAsia="es-ES"/>
              </w:rPr>
              <w:t>financieros</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64,3</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26,6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39,3</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12,4</w:t>
            </w:r>
            <w:r w:rsidRPr="008E0628">
              <w:rPr>
                <w:rFonts w:cs="Arial"/>
                <w:color w:val="000000"/>
                <w:sz w:val="20"/>
                <w:szCs w:val="20"/>
                <w:vertAlign w:val="superscript"/>
                <w:lang w:val="en-US" w:eastAsia="es-ES"/>
              </w:rPr>
              <w:t>8</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proofErr w:type="spellStart"/>
            <w:r w:rsidRPr="008E0628">
              <w:rPr>
                <w:rFonts w:cs="Calibri"/>
                <w:color w:val="000000"/>
                <w:sz w:val="20"/>
                <w:szCs w:val="20"/>
                <w:lang w:val="en-US" w:eastAsia="es-ES"/>
              </w:rPr>
              <w:t>Servicios</w:t>
            </w:r>
            <w:proofErr w:type="spellEnd"/>
            <w:r w:rsidRPr="008E0628">
              <w:rPr>
                <w:rFonts w:cs="Calibri"/>
                <w:color w:val="000000"/>
                <w:sz w:val="20"/>
                <w:szCs w:val="20"/>
                <w:lang w:val="en-US" w:eastAsia="es-ES"/>
              </w:rPr>
              <w:t xml:space="preserve"> </w:t>
            </w:r>
            <w:proofErr w:type="spellStart"/>
            <w:r w:rsidRPr="008E0628">
              <w:rPr>
                <w:rFonts w:cs="Calibri"/>
                <w:color w:val="000000"/>
                <w:sz w:val="20"/>
                <w:szCs w:val="20"/>
                <w:lang w:val="en-US" w:eastAsia="es-ES"/>
              </w:rPr>
              <w:t>empresariales</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40</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13,6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30,1</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proofErr w:type="spellStart"/>
            <w:r w:rsidRPr="008E0628">
              <w:rPr>
                <w:rFonts w:cs="Calibri"/>
                <w:color w:val="000000"/>
                <w:sz w:val="20"/>
                <w:szCs w:val="20"/>
                <w:lang w:val="en-US" w:eastAsia="es-ES"/>
              </w:rPr>
              <w:t>Servicios</w:t>
            </w:r>
            <w:proofErr w:type="spellEnd"/>
            <w:r w:rsidRPr="008E0628">
              <w:rPr>
                <w:rFonts w:cs="Calibri"/>
                <w:color w:val="000000"/>
                <w:sz w:val="20"/>
                <w:szCs w:val="20"/>
                <w:lang w:val="en-US" w:eastAsia="es-ES"/>
              </w:rPr>
              <w:t xml:space="preserve"> </w:t>
            </w:r>
            <w:proofErr w:type="spellStart"/>
            <w:r w:rsidRPr="008E0628">
              <w:rPr>
                <w:rFonts w:cs="Calibri"/>
                <w:color w:val="000000"/>
                <w:sz w:val="20"/>
                <w:szCs w:val="20"/>
                <w:lang w:val="en-US" w:eastAsia="es-ES"/>
              </w:rPr>
              <w:t>públicos</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61,5</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28</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44,3</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30,7</w:t>
            </w:r>
            <w:r w:rsidRPr="008E0628">
              <w:rPr>
                <w:rFonts w:cs="Arial"/>
                <w:color w:val="000000"/>
                <w:sz w:val="20"/>
                <w:szCs w:val="20"/>
                <w:vertAlign w:val="superscript"/>
                <w:lang w:val="en-US" w:eastAsia="es-ES"/>
              </w:rPr>
              <w:t>9</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eastAsia="es-ES"/>
              </w:rPr>
            </w:pPr>
            <w:r w:rsidRPr="008E0628">
              <w:rPr>
                <w:rFonts w:cs="Calibri"/>
                <w:color w:val="000000"/>
                <w:sz w:val="20"/>
                <w:szCs w:val="20"/>
                <w:lang w:eastAsia="es-ES"/>
              </w:rPr>
              <w:t>Servicios personales y a la comunidad</w:t>
            </w:r>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17,5</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8</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Arial"/>
                <w:color w:val="000000"/>
                <w:sz w:val="20"/>
                <w:szCs w:val="20"/>
                <w:lang w:val="en-US" w:eastAsia="es-ES"/>
              </w:rPr>
              <w:t>13,2</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p>
        </w:tc>
      </w:tr>
      <w:tr w:rsidR="008E0628" w:rsidRPr="008E0628" w:rsidTr="00111BCB">
        <w:trPr>
          <w:trHeight w:val="340"/>
        </w:trPr>
        <w:tc>
          <w:tcPr>
            <w:tcW w:w="8744" w:type="dxa"/>
            <w:gridSpan w:val="5"/>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r w:rsidRPr="008E0628">
              <w:rPr>
                <w:rFonts w:cs="Calibri"/>
                <w:color w:val="000000"/>
                <w:sz w:val="20"/>
                <w:szCs w:val="20"/>
                <w:lang w:val="en-US" w:eastAsia="es-ES"/>
              </w:rPr>
              <w:t>SEGÚN TIPO DE CONTRATO</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proofErr w:type="spellStart"/>
            <w:r w:rsidRPr="008E0628">
              <w:rPr>
                <w:rFonts w:cs="Calibri"/>
                <w:color w:val="000000"/>
                <w:sz w:val="20"/>
                <w:szCs w:val="20"/>
                <w:lang w:val="en-US" w:eastAsia="es-ES"/>
              </w:rPr>
              <w:t>Indefinido</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50,9</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21,2</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40,9</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r w:rsidRPr="008E0628">
              <w:rPr>
                <w:rFonts w:cs="Calibri"/>
                <w:color w:val="000000"/>
                <w:sz w:val="20"/>
                <w:szCs w:val="20"/>
                <w:lang w:val="en-US" w:eastAsia="es-ES"/>
              </w:rPr>
              <w:t>Temporal</w:t>
            </w:r>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37</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11,7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color w:val="000000"/>
                <w:sz w:val="20"/>
                <w:szCs w:val="20"/>
                <w:lang w:val="en-US" w:eastAsia="es-ES"/>
              </w:rPr>
              <w:t>25</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p>
        </w:tc>
      </w:tr>
      <w:tr w:rsidR="008E0628" w:rsidRPr="008E0628" w:rsidTr="00111BCB">
        <w:trPr>
          <w:trHeight w:val="340"/>
        </w:trPr>
        <w:tc>
          <w:tcPr>
            <w:tcW w:w="8744" w:type="dxa"/>
            <w:gridSpan w:val="5"/>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r w:rsidRPr="008E0628">
              <w:rPr>
                <w:rFonts w:cs="Calibri"/>
                <w:color w:val="000000"/>
                <w:sz w:val="20"/>
                <w:szCs w:val="20"/>
                <w:lang w:val="en-US" w:eastAsia="es-ES"/>
              </w:rPr>
              <w:t>AFILIACION SINDICAL</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r w:rsidRPr="008E0628">
              <w:rPr>
                <w:rFonts w:cs="Calibri"/>
                <w:color w:val="000000"/>
                <w:sz w:val="20"/>
                <w:szCs w:val="20"/>
                <w:lang w:val="en-US" w:eastAsia="es-ES"/>
              </w:rPr>
              <w:t>Si</w:t>
            </w:r>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75,4</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55,9</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50,5</w:t>
            </w:r>
            <w:r w:rsidRPr="008E0628">
              <w:rPr>
                <w:rFonts w:cs="Calibri"/>
                <w:color w:val="000000"/>
                <w:sz w:val="20"/>
                <w:szCs w:val="20"/>
                <w:vertAlign w:val="superscript"/>
                <w:lang w:val="en-US" w:eastAsia="es-ES"/>
              </w:rPr>
              <w:t>10</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r w:rsidRPr="008E0628">
              <w:rPr>
                <w:rFonts w:cs="Calibri"/>
                <w:color w:val="000000"/>
                <w:sz w:val="20"/>
                <w:szCs w:val="20"/>
                <w:lang w:val="en-US" w:eastAsia="es-ES"/>
              </w:rPr>
              <w:t>No</w:t>
            </w:r>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40,9</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32,6</w:t>
            </w: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14,1</w:t>
            </w:r>
            <w:r w:rsidRPr="008E0628">
              <w:rPr>
                <w:rFonts w:cs="Calibri"/>
                <w:color w:val="000000"/>
                <w:sz w:val="20"/>
                <w:szCs w:val="20"/>
                <w:vertAlign w:val="superscript"/>
                <w:lang w:val="en-US" w:eastAsia="es-ES"/>
              </w:rPr>
              <w:t>10</w:t>
            </w:r>
          </w:p>
        </w:tc>
      </w:tr>
      <w:tr w:rsidR="008E0628" w:rsidRPr="008E0628" w:rsidTr="00111BCB">
        <w:trPr>
          <w:trHeight w:val="340"/>
        </w:trPr>
        <w:tc>
          <w:tcPr>
            <w:tcW w:w="269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rPr>
                <w:color w:val="000000"/>
                <w:sz w:val="20"/>
                <w:szCs w:val="20"/>
                <w:lang w:val="en-US" w:eastAsia="es-ES"/>
              </w:rPr>
            </w:pPr>
            <w:proofErr w:type="spellStart"/>
            <w:r w:rsidRPr="008E0628">
              <w:rPr>
                <w:rFonts w:cs="Calibri"/>
                <w:color w:val="000000"/>
                <w:sz w:val="20"/>
                <w:szCs w:val="20"/>
                <w:lang w:val="en-US" w:eastAsia="es-ES"/>
              </w:rPr>
              <w:t>Tasa</w:t>
            </w:r>
            <w:proofErr w:type="spellEnd"/>
            <w:r w:rsidRPr="008E0628">
              <w:rPr>
                <w:rFonts w:cs="Calibri"/>
                <w:color w:val="000000"/>
                <w:sz w:val="20"/>
                <w:szCs w:val="20"/>
                <w:lang w:val="en-US" w:eastAsia="es-ES"/>
              </w:rPr>
              <w:t xml:space="preserve"> de </w:t>
            </w:r>
            <w:proofErr w:type="spellStart"/>
            <w:r w:rsidRPr="008E0628">
              <w:rPr>
                <w:rFonts w:cs="Calibri"/>
                <w:color w:val="000000"/>
                <w:sz w:val="20"/>
                <w:szCs w:val="20"/>
                <w:lang w:val="en-US" w:eastAsia="es-ES"/>
              </w:rPr>
              <w:t>afiliación</w:t>
            </w:r>
            <w:proofErr w:type="spellEnd"/>
            <w:r w:rsidRPr="008E0628">
              <w:rPr>
                <w:rFonts w:cs="Calibri"/>
                <w:color w:val="000000"/>
                <w:sz w:val="20"/>
                <w:szCs w:val="20"/>
                <w:lang w:val="en-US" w:eastAsia="es-ES"/>
              </w:rPr>
              <w:t xml:space="preserve"> </w:t>
            </w:r>
            <w:proofErr w:type="spellStart"/>
            <w:r w:rsidRPr="008E0628">
              <w:rPr>
                <w:rFonts w:cs="Calibri"/>
                <w:color w:val="000000"/>
                <w:sz w:val="20"/>
                <w:szCs w:val="20"/>
                <w:lang w:val="en-US" w:eastAsia="es-ES"/>
              </w:rPr>
              <w:t>sindical</w:t>
            </w:r>
            <w:proofErr w:type="spellEnd"/>
          </w:p>
        </w:tc>
        <w:tc>
          <w:tcPr>
            <w:tcW w:w="1522"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30,0*</w:t>
            </w:r>
          </w:p>
        </w:tc>
        <w:tc>
          <w:tcPr>
            <w:tcW w:w="1313"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r w:rsidRPr="008E0628">
              <w:rPr>
                <w:rFonts w:cs="Calibri"/>
                <w:color w:val="000000"/>
                <w:sz w:val="20"/>
                <w:szCs w:val="20"/>
                <w:lang w:val="en-US" w:eastAsia="es-ES"/>
              </w:rPr>
              <w:t>18,9**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p>
        </w:tc>
        <w:tc>
          <w:tcPr>
            <w:tcW w:w="1656" w:type="dxa"/>
            <w:tcBorders>
              <w:top w:val="nil"/>
              <w:left w:val="nil"/>
              <w:bottom w:val="single" w:sz="8" w:space="0" w:color="auto"/>
              <w:right w:val="single" w:sz="8" w:space="0" w:color="auto"/>
            </w:tcBorders>
            <w:tcMar>
              <w:top w:w="0" w:type="dxa"/>
              <w:left w:w="70" w:type="dxa"/>
              <w:bottom w:w="0" w:type="dxa"/>
              <w:right w:w="70" w:type="dxa"/>
            </w:tcMar>
            <w:vAlign w:val="center"/>
          </w:tcPr>
          <w:p w:rsidR="008E0628" w:rsidRPr="008E0628" w:rsidRDefault="008E0628" w:rsidP="008E0628">
            <w:pPr>
              <w:keepNext/>
              <w:keepLines/>
              <w:spacing w:after="0" w:line="240" w:lineRule="auto"/>
              <w:jc w:val="center"/>
              <w:rPr>
                <w:color w:val="000000"/>
                <w:sz w:val="20"/>
                <w:szCs w:val="20"/>
                <w:lang w:val="en-US" w:eastAsia="es-ES"/>
              </w:rPr>
            </w:pPr>
          </w:p>
        </w:tc>
      </w:tr>
    </w:tbl>
    <w:p w:rsidR="008E0628" w:rsidRPr="008E0628" w:rsidRDefault="008E0628" w:rsidP="008E0628">
      <w:pPr>
        <w:keepNext/>
        <w:keepLines/>
        <w:spacing w:after="0" w:line="240" w:lineRule="auto"/>
        <w:jc w:val="center"/>
        <w:rPr>
          <w:sz w:val="20"/>
          <w:szCs w:val="20"/>
        </w:rPr>
      </w:pPr>
      <w:r w:rsidRPr="008E0628">
        <w:rPr>
          <w:sz w:val="20"/>
          <w:szCs w:val="20"/>
        </w:rPr>
        <w:t xml:space="preserve">Notas; </w:t>
      </w:r>
      <w:r w:rsidRPr="008E0628">
        <w:rPr>
          <w:sz w:val="20"/>
          <w:szCs w:val="20"/>
          <w:vertAlign w:val="superscript"/>
        </w:rPr>
        <w:t>1</w:t>
      </w:r>
      <w:r w:rsidRPr="008E0628">
        <w:rPr>
          <w:sz w:val="20"/>
          <w:szCs w:val="20"/>
        </w:rPr>
        <w:t xml:space="preserve"> empresas de </w:t>
      </w:r>
      <w:smartTag w:uri="urn:schemas-microsoft-com:office:smarttags" w:element="metricconverter">
        <w:smartTagPr>
          <w:attr w:name="ProductID" w:val="6 a"/>
        </w:smartTagPr>
        <w:r w:rsidRPr="008E0628">
          <w:rPr>
            <w:sz w:val="20"/>
            <w:szCs w:val="20"/>
          </w:rPr>
          <w:t>6 a</w:t>
        </w:r>
      </w:smartTag>
      <w:r w:rsidRPr="008E0628">
        <w:rPr>
          <w:sz w:val="20"/>
          <w:szCs w:val="20"/>
        </w:rPr>
        <w:t xml:space="preserve"> 49 trabajadores; </w:t>
      </w:r>
      <w:r w:rsidRPr="008E0628">
        <w:rPr>
          <w:sz w:val="20"/>
          <w:szCs w:val="20"/>
          <w:vertAlign w:val="superscript"/>
        </w:rPr>
        <w:t>2</w:t>
      </w:r>
      <w:r w:rsidRPr="008E0628">
        <w:rPr>
          <w:sz w:val="20"/>
          <w:szCs w:val="20"/>
        </w:rPr>
        <w:t xml:space="preserve"> de </w:t>
      </w:r>
      <w:smartTag w:uri="urn:schemas-microsoft-com:office:smarttags" w:element="metricconverter">
        <w:smartTagPr>
          <w:attr w:name="ProductID" w:val="250 a"/>
        </w:smartTagPr>
        <w:r w:rsidRPr="008E0628">
          <w:rPr>
            <w:sz w:val="20"/>
            <w:szCs w:val="20"/>
          </w:rPr>
          <w:t>250 a</w:t>
        </w:r>
      </w:smartTag>
      <w:r w:rsidRPr="008E0628">
        <w:rPr>
          <w:sz w:val="20"/>
          <w:szCs w:val="20"/>
        </w:rPr>
        <w:t xml:space="preserve"> 250; </w:t>
      </w:r>
      <w:r w:rsidRPr="008E0628">
        <w:rPr>
          <w:sz w:val="20"/>
          <w:szCs w:val="20"/>
          <w:vertAlign w:val="superscript"/>
        </w:rPr>
        <w:t>3</w:t>
      </w:r>
      <w:r w:rsidRPr="008E0628">
        <w:rPr>
          <w:sz w:val="20"/>
          <w:szCs w:val="20"/>
        </w:rPr>
        <w:t xml:space="preserve"> de 51 o más. Correspondencia con federaciones de CCOO: </w:t>
      </w:r>
      <w:r w:rsidRPr="008E0628">
        <w:rPr>
          <w:sz w:val="20"/>
          <w:szCs w:val="20"/>
          <w:vertAlign w:val="superscript"/>
        </w:rPr>
        <w:t>4</w:t>
      </w:r>
      <w:r w:rsidRPr="008E0628">
        <w:rPr>
          <w:sz w:val="20"/>
          <w:szCs w:val="20"/>
        </w:rPr>
        <w:t xml:space="preserve"> Agroalimentaria, </w:t>
      </w:r>
      <w:r w:rsidRPr="008E0628">
        <w:rPr>
          <w:sz w:val="20"/>
          <w:szCs w:val="20"/>
          <w:vertAlign w:val="superscript"/>
        </w:rPr>
        <w:t>5</w:t>
      </w:r>
      <w:r w:rsidRPr="008E0628">
        <w:rPr>
          <w:sz w:val="20"/>
          <w:szCs w:val="20"/>
        </w:rPr>
        <w:t xml:space="preserve"> Industria, </w:t>
      </w:r>
      <w:r w:rsidRPr="008E0628">
        <w:rPr>
          <w:sz w:val="20"/>
          <w:szCs w:val="20"/>
          <w:vertAlign w:val="superscript"/>
        </w:rPr>
        <w:t>6</w:t>
      </w:r>
      <w:r w:rsidRPr="008E0628">
        <w:rPr>
          <w:sz w:val="20"/>
          <w:szCs w:val="20"/>
        </w:rPr>
        <w:t xml:space="preserve"> FECOMA, </w:t>
      </w:r>
      <w:r w:rsidRPr="008E0628">
        <w:rPr>
          <w:sz w:val="20"/>
          <w:szCs w:val="20"/>
          <w:vertAlign w:val="superscript"/>
        </w:rPr>
        <w:t>7</w:t>
      </w:r>
      <w:r w:rsidRPr="008E0628">
        <w:rPr>
          <w:sz w:val="20"/>
          <w:szCs w:val="20"/>
        </w:rPr>
        <w:t xml:space="preserve"> FECOHT, </w:t>
      </w:r>
      <w:r w:rsidRPr="008E0628">
        <w:rPr>
          <w:sz w:val="20"/>
          <w:szCs w:val="20"/>
          <w:vertAlign w:val="superscript"/>
        </w:rPr>
        <w:t>8</w:t>
      </w:r>
      <w:r w:rsidRPr="008E0628">
        <w:rPr>
          <w:sz w:val="20"/>
          <w:szCs w:val="20"/>
        </w:rPr>
        <w:t xml:space="preserve"> COMFIA, </w:t>
      </w:r>
      <w:r w:rsidRPr="008E0628">
        <w:rPr>
          <w:sz w:val="20"/>
          <w:szCs w:val="20"/>
          <w:vertAlign w:val="superscript"/>
        </w:rPr>
        <w:t>9</w:t>
      </w:r>
      <w:r w:rsidRPr="008E0628">
        <w:rPr>
          <w:sz w:val="20"/>
          <w:szCs w:val="20"/>
        </w:rPr>
        <w:t xml:space="preserve"> Servicios a la Ciudadanía,</w:t>
      </w:r>
      <w:r w:rsidRPr="008E0628">
        <w:rPr>
          <w:sz w:val="20"/>
          <w:szCs w:val="20"/>
          <w:vertAlign w:val="superscript"/>
        </w:rPr>
        <w:t xml:space="preserve"> 10</w:t>
      </w:r>
      <w:r w:rsidRPr="008E0628">
        <w:rPr>
          <w:sz w:val="20"/>
          <w:szCs w:val="20"/>
        </w:rPr>
        <w:t xml:space="preserve"> En este caso se refiere en exclusiva con afiliación a CCOO.</w:t>
      </w:r>
    </w:p>
    <w:p w:rsidR="008E0628" w:rsidRPr="008E0628" w:rsidRDefault="008E0628" w:rsidP="008E0628">
      <w:pPr>
        <w:keepNext/>
        <w:keepLines/>
        <w:spacing w:after="0" w:line="240" w:lineRule="auto"/>
        <w:jc w:val="center"/>
        <w:rPr>
          <w:sz w:val="20"/>
          <w:szCs w:val="20"/>
        </w:rPr>
      </w:pPr>
      <w:r w:rsidRPr="008E0628">
        <w:rPr>
          <w:sz w:val="20"/>
          <w:szCs w:val="20"/>
        </w:rPr>
        <w:t>*Tasa de afiliación sindical en las empresas con representación sindical</w:t>
      </w:r>
    </w:p>
    <w:p w:rsidR="008E0628" w:rsidRPr="008E0628" w:rsidRDefault="008E0628" w:rsidP="008E0628">
      <w:pPr>
        <w:keepNext/>
        <w:keepLines/>
        <w:spacing w:after="0" w:line="240" w:lineRule="auto"/>
        <w:jc w:val="center"/>
        <w:rPr>
          <w:sz w:val="20"/>
          <w:szCs w:val="20"/>
        </w:rPr>
      </w:pPr>
      <w:r w:rsidRPr="008E0628">
        <w:rPr>
          <w:sz w:val="20"/>
          <w:szCs w:val="20"/>
        </w:rPr>
        <w:t>** Tasa total de afiliación</w:t>
      </w:r>
    </w:p>
    <w:p w:rsidR="008E0628" w:rsidRPr="008E0628" w:rsidRDefault="008E0628" w:rsidP="008E0628">
      <w:pPr>
        <w:keepNext/>
        <w:keepLines/>
        <w:spacing w:after="0" w:line="240" w:lineRule="auto"/>
        <w:jc w:val="center"/>
        <w:rPr>
          <w:i/>
          <w:iCs/>
          <w:sz w:val="23"/>
          <w:szCs w:val="23"/>
        </w:rPr>
      </w:pPr>
      <w:r w:rsidRPr="008E0628">
        <w:rPr>
          <w:sz w:val="20"/>
          <w:szCs w:val="20"/>
          <w:lang w:val="ca-ES"/>
        </w:rPr>
        <w:t xml:space="preserve">Fuente: </w:t>
      </w:r>
      <w:r w:rsidRPr="008E0628">
        <w:rPr>
          <w:rFonts w:cs="Calibri"/>
          <w:sz w:val="20"/>
          <w:szCs w:val="20"/>
        </w:rPr>
        <w:t xml:space="preserve">con datos de </w:t>
      </w:r>
      <w:r w:rsidRPr="008E0628">
        <w:rPr>
          <w:sz w:val="20"/>
          <w:szCs w:val="20"/>
          <w:lang w:val="ca-ES"/>
        </w:rPr>
        <w:t>ECVT 2010 y SIC-CCOO</w:t>
      </w:r>
    </w:p>
    <w:p w:rsidR="008E0628" w:rsidRPr="008E0628" w:rsidRDefault="008E0628" w:rsidP="008E0628">
      <w:pPr>
        <w:spacing w:after="0" w:line="240" w:lineRule="auto"/>
        <w:jc w:val="center"/>
        <w:rPr>
          <w:rFonts w:ascii="Verdana" w:hAnsi="Verdana"/>
          <w:iCs/>
        </w:rPr>
      </w:pPr>
    </w:p>
    <w:p w:rsidR="008E0628" w:rsidRPr="008E0628" w:rsidRDefault="008E0628" w:rsidP="008E0628">
      <w:pPr>
        <w:keepNext/>
        <w:keepLines/>
        <w:spacing w:after="0" w:line="240" w:lineRule="auto"/>
        <w:jc w:val="center"/>
        <w:rPr>
          <w:rFonts w:ascii="Verdana" w:hAnsi="Verdana"/>
          <w:color w:val="FF0000"/>
          <w:lang w:val="ca-ES"/>
        </w:rPr>
      </w:pPr>
      <w:r>
        <w:rPr>
          <w:rFonts w:ascii="Verdana" w:hAnsi="Verdana"/>
          <w:iCs/>
        </w:rPr>
        <w:lastRenderedPageBreak/>
        <w:t>Tabla 3</w:t>
      </w:r>
      <w:r w:rsidRPr="008E0628">
        <w:rPr>
          <w:rFonts w:ascii="Verdana" w:hAnsi="Verdana"/>
          <w:iCs/>
        </w:rPr>
        <w:t>.9. Tasa de afiliación sindical y representación sindical. España ECVT 2010 (en %)</w:t>
      </w:r>
    </w:p>
    <w:tbl>
      <w:tblPr>
        <w:tblW w:w="0" w:type="auto"/>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ook w:val="04A0" w:firstRow="1" w:lastRow="0" w:firstColumn="1" w:lastColumn="0" w:noHBand="0" w:noVBand="1"/>
      </w:tblPr>
      <w:tblGrid>
        <w:gridCol w:w="3083"/>
        <w:gridCol w:w="1261"/>
        <w:gridCol w:w="3343"/>
      </w:tblGrid>
      <w:tr w:rsidR="008E0628" w:rsidRPr="008E0628" w:rsidTr="00111BCB">
        <w:trPr>
          <w:cantSplit/>
          <w:trHeight w:val="276"/>
          <w:jc w:val="center"/>
        </w:trPr>
        <w:tc>
          <w:tcPr>
            <w:tcW w:w="0" w:type="auto"/>
            <w:tcBorders>
              <w:top w:val="double" w:sz="4" w:space="0" w:color="auto"/>
              <w:left w:val="double" w:sz="4" w:space="0" w:color="auto"/>
              <w:bottom w:val="single" w:sz="8" w:space="0" w:color="000000"/>
              <w:right w:val="single" w:sz="8" w:space="0" w:color="000000"/>
            </w:tcBorders>
            <w:vAlign w:val="bottom"/>
          </w:tcPr>
          <w:p w:rsidR="008E0628" w:rsidRPr="008E0628" w:rsidRDefault="008E0628" w:rsidP="008E0628">
            <w:pPr>
              <w:pStyle w:val="Default"/>
              <w:keepNext/>
              <w:keepLines/>
              <w:jc w:val="center"/>
              <w:rPr>
                <w:sz w:val="20"/>
                <w:szCs w:val="20"/>
                <w:lang w:val="en-US"/>
              </w:rPr>
            </w:pPr>
          </w:p>
        </w:tc>
        <w:tc>
          <w:tcPr>
            <w:tcW w:w="0" w:type="auto"/>
            <w:tcBorders>
              <w:top w:val="double" w:sz="4" w:space="0" w:color="auto"/>
              <w:left w:val="single" w:sz="8" w:space="0" w:color="000000"/>
              <w:bottom w:val="single" w:sz="8" w:space="0" w:color="000000"/>
              <w:right w:val="single" w:sz="8" w:space="0" w:color="000000"/>
            </w:tcBorders>
            <w:vAlign w:val="bottom"/>
          </w:tcPr>
          <w:p w:rsidR="008E0628" w:rsidRPr="008E0628" w:rsidRDefault="008E0628" w:rsidP="008E0628">
            <w:pPr>
              <w:pStyle w:val="Default"/>
              <w:keepNext/>
              <w:keepLines/>
              <w:jc w:val="center"/>
              <w:rPr>
                <w:b/>
                <w:sz w:val="20"/>
                <w:szCs w:val="20"/>
                <w:lang w:val="en-US"/>
              </w:rPr>
            </w:pPr>
            <w:proofErr w:type="spellStart"/>
            <w:r w:rsidRPr="008E0628">
              <w:rPr>
                <w:b/>
                <w:sz w:val="20"/>
                <w:szCs w:val="20"/>
                <w:lang w:val="en-US"/>
              </w:rPr>
              <w:t>Afiliación</w:t>
            </w:r>
            <w:proofErr w:type="spellEnd"/>
          </w:p>
        </w:tc>
        <w:tc>
          <w:tcPr>
            <w:tcW w:w="0" w:type="auto"/>
            <w:tcBorders>
              <w:top w:val="double" w:sz="4" w:space="0" w:color="auto"/>
              <w:left w:val="single" w:sz="8" w:space="0" w:color="000000"/>
              <w:bottom w:val="single" w:sz="8" w:space="0" w:color="000000"/>
              <w:right w:val="double" w:sz="4" w:space="0" w:color="auto"/>
            </w:tcBorders>
            <w:vAlign w:val="bottom"/>
          </w:tcPr>
          <w:p w:rsidR="008E0628" w:rsidRPr="008E0628" w:rsidRDefault="008E0628" w:rsidP="008E0628">
            <w:pPr>
              <w:pStyle w:val="Default"/>
              <w:keepNext/>
              <w:keepLines/>
              <w:jc w:val="center"/>
              <w:rPr>
                <w:b/>
                <w:sz w:val="20"/>
                <w:szCs w:val="20"/>
                <w:lang w:val="en-US"/>
              </w:rPr>
            </w:pPr>
            <w:proofErr w:type="spellStart"/>
            <w:r w:rsidRPr="008E0628">
              <w:rPr>
                <w:b/>
                <w:sz w:val="20"/>
                <w:szCs w:val="20"/>
                <w:lang w:val="en-US"/>
              </w:rPr>
              <w:t>Representación</w:t>
            </w:r>
            <w:proofErr w:type="spellEnd"/>
            <w:r w:rsidRPr="008E0628">
              <w:rPr>
                <w:b/>
                <w:sz w:val="20"/>
                <w:szCs w:val="20"/>
                <w:lang w:val="en-US"/>
              </w:rPr>
              <w:t xml:space="preserve"> </w:t>
            </w:r>
            <w:proofErr w:type="spellStart"/>
            <w:r w:rsidRPr="008E0628">
              <w:rPr>
                <w:b/>
                <w:sz w:val="20"/>
                <w:szCs w:val="20"/>
                <w:lang w:val="en-US"/>
              </w:rPr>
              <w:t>en</w:t>
            </w:r>
            <w:proofErr w:type="spellEnd"/>
            <w:r w:rsidRPr="008E0628">
              <w:rPr>
                <w:b/>
                <w:sz w:val="20"/>
                <w:szCs w:val="20"/>
                <w:lang w:val="en-US"/>
              </w:rPr>
              <w:t xml:space="preserve"> </w:t>
            </w:r>
            <w:proofErr w:type="spellStart"/>
            <w:r w:rsidRPr="008E0628">
              <w:rPr>
                <w:b/>
                <w:sz w:val="20"/>
                <w:szCs w:val="20"/>
                <w:lang w:val="en-US"/>
              </w:rPr>
              <w:t>empresa</w:t>
            </w:r>
            <w:proofErr w:type="spellEnd"/>
          </w:p>
        </w:tc>
      </w:tr>
      <w:tr w:rsidR="008E0628" w:rsidRPr="008E0628" w:rsidTr="00111BCB">
        <w:trPr>
          <w:trHeight w:val="144"/>
          <w:jc w:val="center"/>
        </w:trPr>
        <w:tc>
          <w:tcPr>
            <w:tcW w:w="0" w:type="auto"/>
            <w:gridSpan w:val="3"/>
            <w:tcBorders>
              <w:top w:val="single" w:sz="8" w:space="0" w:color="000000"/>
              <w:left w:val="double" w:sz="4" w:space="0" w:color="auto"/>
              <w:bottom w:val="single" w:sz="8" w:space="0" w:color="000000"/>
              <w:right w:val="double" w:sz="4" w:space="0" w:color="auto"/>
            </w:tcBorders>
          </w:tcPr>
          <w:p w:rsidR="008E0628" w:rsidRPr="008E0628" w:rsidRDefault="008E0628" w:rsidP="008E0628">
            <w:pPr>
              <w:pStyle w:val="Default"/>
              <w:keepNext/>
              <w:keepLines/>
              <w:rPr>
                <w:sz w:val="20"/>
                <w:szCs w:val="20"/>
                <w:lang w:val="en-US"/>
              </w:rPr>
            </w:pPr>
            <w:r w:rsidRPr="008E0628">
              <w:rPr>
                <w:sz w:val="20"/>
                <w:szCs w:val="20"/>
                <w:lang w:val="en-US"/>
              </w:rPr>
              <w:t>SEXO</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r w:rsidRPr="008E0628">
              <w:rPr>
                <w:sz w:val="20"/>
                <w:szCs w:val="20"/>
                <w:lang w:val="en-US"/>
              </w:rPr>
              <w:t xml:space="preserve">Hombres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20,6</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50,1</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proofErr w:type="spellStart"/>
            <w:r w:rsidRPr="008E0628">
              <w:rPr>
                <w:sz w:val="20"/>
                <w:szCs w:val="20"/>
                <w:lang w:val="en-US"/>
              </w:rPr>
              <w:t>Mujeres</w:t>
            </w:r>
            <w:proofErr w:type="spellEnd"/>
            <w:r w:rsidRPr="008E0628">
              <w:rPr>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16,8</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44,2</w:t>
            </w:r>
          </w:p>
        </w:tc>
      </w:tr>
      <w:tr w:rsidR="008E0628" w:rsidRPr="008E0628" w:rsidTr="00111BCB">
        <w:trPr>
          <w:trHeight w:val="144"/>
          <w:jc w:val="center"/>
        </w:trPr>
        <w:tc>
          <w:tcPr>
            <w:tcW w:w="0" w:type="auto"/>
            <w:gridSpan w:val="3"/>
            <w:tcBorders>
              <w:top w:val="single" w:sz="8" w:space="0" w:color="000000"/>
              <w:left w:val="double" w:sz="4" w:space="0" w:color="auto"/>
              <w:bottom w:val="single" w:sz="8" w:space="0" w:color="000000"/>
              <w:right w:val="double" w:sz="4" w:space="0" w:color="auto"/>
            </w:tcBorders>
          </w:tcPr>
          <w:p w:rsidR="008E0628" w:rsidRPr="008E0628" w:rsidRDefault="008E0628" w:rsidP="008E0628">
            <w:pPr>
              <w:pStyle w:val="Default"/>
              <w:keepNext/>
              <w:keepLines/>
              <w:jc w:val="both"/>
              <w:rPr>
                <w:sz w:val="20"/>
                <w:szCs w:val="20"/>
                <w:lang w:val="en-US"/>
              </w:rPr>
            </w:pPr>
            <w:r w:rsidRPr="008E0628">
              <w:rPr>
                <w:sz w:val="20"/>
                <w:szCs w:val="20"/>
                <w:lang w:val="en-US"/>
              </w:rPr>
              <w:t xml:space="preserve">EDAD </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r w:rsidRPr="008E0628">
              <w:rPr>
                <w:sz w:val="20"/>
                <w:szCs w:val="20"/>
                <w:lang w:val="en-US"/>
              </w:rPr>
              <w:t xml:space="preserve">De </w:t>
            </w:r>
            <w:smartTag w:uri="urn:schemas-microsoft-com:office:smarttags" w:element="metricconverter">
              <w:smartTagPr>
                <w:attr w:name="ProductID" w:val="16 a"/>
              </w:smartTagPr>
              <w:r w:rsidRPr="008E0628">
                <w:rPr>
                  <w:sz w:val="20"/>
                  <w:szCs w:val="20"/>
                  <w:lang w:val="en-US"/>
                </w:rPr>
                <w:t>16 a</w:t>
              </w:r>
            </w:smartTag>
            <w:r w:rsidRPr="008E0628">
              <w:rPr>
                <w:sz w:val="20"/>
                <w:szCs w:val="20"/>
                <w:lang w:val="en-US"/>
              </w:rPr>
              <w:t xml:space="preserve"> 24 </w:t>
            </w:r>
            <w:proofErr w:type="spellStart"/>
            <w:r w:rsidRPr="008E0628">
              <w:rPr>
                <w:sz w:val="20"/>
                <w:szCs w:val="20"/>
                <w:lang w:val="en-US"/>
              </w:rPr>
              <w:t>años</w:t>
            </w:r>
            <w:proofErr w:type="spellEnd"/>
            <w:r w:rsidRPr="008E0628">
              <w:rPr>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7,1</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34,0</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r w:rsidRPr="008E0628">
              <w:rPr>
                <w:sz w:val="20"/>
                <w:szCs w:val="20"/>
                <w:lang w:val="en-US"/>
              </w:rPr>
              <w:t xml:space="preserve">De </w:t>
            </w:r>
            <w:smartTag w:uri="urn:schemas-microsoft-com:office:smarttags" w:element="metricconverter">
              <w:smartTagPr>
                <w:attr w:name="ProductID" w:val="25 a"/>
              </w:smartTagPr>
              <w:r w:rsidRPr="008E0628">
                <w:rPr>
                  <w:sz w:val="20"/>
                  <w:szCs w:val="20"/>
                  <w:lang w:val="en-US"/>
                </w:rPr>
                <w:t>25 a</w:t>
              </w:r>
            </w:smartTag>
            <w:r w:rsidRPr="008E0628">
              <w:rPr>
                <w:sz w:val="20"/>
                <w:szCs w:val="20"/>
                <w:lang w:val="en-US"/>
              </w:rPr>
              <w:t xml:space="preserve"> 44 </w:t>
            </w:r>
            <w:proofErr w:type="spellStart"/>
            <w:r w:rsidRPr="008E0628">
              <w:rPr>
                <w:sz w:val="20"/>
                <w:szCs w:val="20"/>
                <w:lang w:val="en-US"/>
              </w:rPr>
              <w:t>años</w:t>
            </w:r>
            <w:proofErr w:type="spellEnd"/>
            <w:r w:rsidRPr="008E0628">
              <w:rPr>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16,7</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45,8</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r w:rsidRPr="008E0628">
              <w:rPr>
                <w:sz w:val="20"/>
                <w:szCs w:val="20"/>
                <w:lang w:val="en-US"/>
              </w:rPr>
              <w:t xml:space="preserve">De 45 y </w:t>
            </w:r>
            <w:proofErr w:type="spellStart"/>
            <w:r w:rsidRPr="008E0628">
              <w:rPr>
                <w:sz w:val="20"/>
                <w:szCs w:val="20"/>
                <w:lang w:val="en-US"/>
              </w:rPr>
              <w:t>más</w:t>
            </w:r>
            <w:proofErr w:type="spellEnd"/>
            <w:r w:rsidRPr="008E0628">
              <w:rPr>
                <w:sz w:val="20"/>
                <w:szCs w:val="20"/>
                <w:lang w:val="en-US"/>
              </w:rPr>
              <w:t xml:space="preserve"> </w:t>
            </w:r>
            <w:proofErr w:type="spellStart"/>
            <w:r w:rsidRPr="008E0628">
              <w:rPr>
                <w:sz w:val="20"/>
                <w:szCs w:val="20"/>
                <w:lang w:val="en-US"/>
              </w:rPr>
              <w:t>años</w:t>
            </w:r>
            <w:proofErr w:type="spellEnd"/>
            <w:r w:rsidRPr="008E0628">
              <w:rPr>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25,1</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53,1</w:t>
            </w:r>
          </w:p>
        </w:tc>
      </w:tr>
      <w:tr w:rsidR="008E0628" w:rsidRPr="008E0628" w:rsidTr="00111BCB">
        <w:trPr>
          <w:trHeight w:val="144"/>
          <w:jc w:val="center"/>
        </w:trPr>
        <w:tc>
          <w:tcPr>
            <w:tcW w:w="0" w:type="auto"/>
            <w:gridSpan w:val="3"/>
            <w:tcBorders>
              <w:top w:val="single" w:sz="8" w:space="0" w:color="000000"/>
              <w:left w:val="double" w:sz="4" w:space="0" w:color="auto"/>
              <w:bottom w:val="single" w:sz="8" w:space="0" w:color="000000"/>
              <w:right w:val="double" w:sz="4" w:space="0" w:color="auto"/>
            </w:tcBorders>
          </w:tcPr>
          <w:p w:rsidR="008E0628" w:rsidRPr="008E0628" w:rsidRDefault="008E0628" w:rsidP="008E0628">
            <w:pPr>
              <w:pStyle w:val="Default"/>
              <w:keepNext/>
              <w:keepLines/>
              <w:jc w:val="both"/>
              <w:rPr>
                <w:sz w:val="20"/>
                <w:szCs w:val="20"/>
                <w:lang w:val="en-US"/>
              </w:rPr>
            </w:pPr>
            <w:r w:rsidRPr="008E0628">
              <w:rPr>
                <w:sz w:val="20"/>
                <w:szCs w:val="20"/>
                <w:lang w:val="en-US"/>
              </w:rPr>
              <w:t xml:space="preserve">NIVEL DE ESTUDIOS </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proofErr w:type="spellStart"/>
            <w:r w:rsidRPr="008E0628">
              <w:rPr>
                <w:sz w:val="20"/>
                <w:szCs w:val="20"/>
                <w:lang w:val="en-US"/>
              </w:rPr>
              <w:t>Primarios</w:t>
            </w:r>
            <w:proofErr w:type="spellEnd"/>
            <w:r w:rsidRPr="008E0628">
              <w:rPr>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17,3</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35,4</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proofErr w:type="spellStart"/>
            <w:r w:rsidRPr="008E0628">
              <w:rPr>
                <w:sz w:val="20"/>
                <w:szCs w:val="20"/>
                <w:lang w:val="en-US"/>
              </w:rPr>
              <w:t>Secundarios</w:t>
            </w:r>
            <w:proofErr w:type="spellEnd"/>
            <w:r w:rsidRPr="008E0628">
              <w:rPr>
                <w:sz w:val="20"/>
                <w:szCs w:val="20"/>
                <w:lang w:val="en-US"/>
              </w:rPr>
              <w:t xml:space="preserve"> I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16,6</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42,1</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proofErr w:type="spellStart"/>
            <w:r w:rsidRPr="008E0628">
              <w:rPr>
                <w:sz w:val="20"/>
                <w:szCs w:val="20"/>
                <w:lang w:val="en-US"/>
              </w:rPr>
              <w:t>Secundarios</w:t>
            </w:r>
            <w:proofErr w:type="spellEnd"/>
            <w:r w:rsidRPr="008E0628">
              <w:rPr>
                <w:sz w:val="20"/>
                <w:szCs w:val="20"/>
                <w:lang w:val="en-US"/>
              </w:rPr>
              <w:t xml:space="preserve"> II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20,6</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48,9</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proofErr w:type="spellStart"/>
            <w:r w:rsidRPr="008E0628">
              <w:rPr>
                <w:sz w:val="20"/>
                <w:szCs w:val="20"/>
                <w:lang w:val="en-US"/>
              </w:rPr>
              <w:t>Universitarios</w:t>
            </w:r>
            <w:proofErr w:type="spellEnd"/>
            <w:r w:rsidRPr="008E0628">
              <w:rPr>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20,5</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57,7</w:t>
            </w:r>
          </w:p>
        </w:tc>
      </w:tr>
      <w:tr w:rsidR="008E0628" w:rsidRPr="008E0628" w:rsidTr="00111BCB">
        <w:trPr>
          <w:trHeight w:val="144"/>
          <w:jc w:val="center"/>
        </w:trPr>
        <w:tc>
          <w:tcPr>
            <w:tcW w:w="0" w:type="auto"/>
            <w:gridSpan w:val="3"/>
            <w:tcBorders>
              <w:top w:val="single" w:sz="8" w:space="0" w:color="000000"/>
              <w:left w:val="double" w:sz="4" w:space="0" w:color="auto"/>
              <w:bottom w:val="single" w:sz="8" w:space="0" w:color="000000"/>
              <w:right w:val="double" w:sz="4" w:space="0" w:color="auto"/>
            </w:tcBorders>
          </w:tcPr>
          <w:p w:rsidR="008E0628" w:rsidRPr="008E0628" w:rsidRDefault="008E0628" w:rsidP="008E0628">
            <w:pPr>
              <w:pStyle w:val="Default"/>
              <w:keepNext/>
              <w:keepLines/>
              <w:jc w:val="both"/>
              <w:rPr>
                <w:sz w:val="20"/>
                <w:szCs w:val="20"/>
                <w:lang w:val="en-US"/>
              </w:rPr>
            </w:pPr>
            <w:r w:rsidRPr="008E0628">
              <w:rPr>
                <w:sz w:val="20"/>
                <w:szCs w:val="20"/>
                <w:lang w:val="en-US"/>
              </w:rPr>
              <w:t xml:space="preserve">OCUPACIÓN </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proofErr w:type="spellStart"/>
            <w:r w:rsidRPr="008E0628">
              <w:rPr>
                <w:sz w:val="20"/>
                <w:szCs w:val="20"/>
                <w:lang w:val="en-US"/>
              </w:rPr>
              <w:t>Técnicos</w:t>
            </w:r>
            <w:proofErr w:type="spellEnd"/>
            <w:r w:rsidRPr="008E0628">
              <w:rPr>
                <w:sz w:val="20"/>
                <w:szCs w:val="20"/>
                <w:lang w:val="en-US"/>
              </w:rPr>
              <w:t xml:space="preserve"> y </w:t>
            </w:r>
            <w:proofErr w:type="spellStart"/>
            <w:r w:rsidRPr="008E0628">
              <w:rPr>
                <w:sz w:val="20"/>
                <w:szCs w:val="20"/>
                <w:lang w:val="en-US"/>
              </w:rPr>
              <w:t>profesionales</w:t>
            </w:r>
            <w:proofErr w:type="spellEnd"/>
            <w:r w:rsidRPr="008E0628">
              <w:rPr>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21,2</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55,3</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proofErr w:type="spellStart"/>
            <w:r w:rsidRPr="008E0628">
              <w:rPr>
                <w:sz w:val="20"/>
                <w:szCs w:val="20"/>
                <w:lang w:val="en-US"/>
              </w:rPr>
              <w:t>Administrativos</w:t>
            </w:r>
            <w:proofErr w:type="spellEnd"/>
            <w:r w:rsidRPr="008E0628">
              <w:rPr>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17,1</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59,7</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proofErr w:type="spellStart"/>
            <w:r w:rsidRPr="008E0628">
              <w:rPr>
                <w:sz w:val="20"/>
                <w:szCs w:val="20"/>
                <w:lang w:val="en-US"/>
              </w:rPr>
              <w:t>Trabajadores</w:t>
            </w:r>
            <w:proofErr w:type="spellEnd"/>
            <w:r w:rsidRPr="008E0628">
              <w:rPr>
                <w:sz w:val="20"/>
                <w:szCs w:val="20"/>
                <w:lang w:val="en-US"/>
              </w:rPr>
              <w:t xml:space="preserve"> </w:t>
            </w:r>
            <w:proofErr w:type="spellStart"/>
            <w:r w:rsidRPr="008E0628">
              <w:rPr>
                <w:sz w:val="20"/>
                <w:szCs w:val="20"/>
                <w:lang w:val="en-US"/>
              </w:rPr>
              <w:t>cualificados</w:t>
            </w:r>
            <w:proofErr w:type="spellEnd"/>
            <w:r w:rsidRPr="008E0628">
              <w:rPr>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21,9</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41,5</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proofErr w:type="spellStart"/>
            <w:r w:rsidRPr="008E0628">
              <w:rPr>
                <w:sz w:val="20"/>
                <w:szCs w:val="20"/>
                <w:lang w:val="en-US"/>
              </w:rPr>
              <w:t>Trabajadores</w:t>
            </w:r>
            <w:proofErr w:type="spellEnd"/>
            <w:r w:rsidRPr="008E0628">
              <w:rPr>
                <w:sz w:val="20"/>
                <w:szCs w:val="20"/>
                <w:lang w:val="en-US"/>
              </w:rPr>
              <w:t xml:space="preserve"> no </w:t>
            </w:r>
            <w:proofErr w:type="spellStart"/>
            <w:r w:rsidRPr="008E0628">
              <w:rPr>
                <w:sz w:val="20"/>
                <w:szCs w:val="20"/>
                <w:lang w:val="en-US"/>
              </w:rPr>
              <w:t>cualificados</w:t>
            </w:r>
            <w:proofErr w:type="spellEnd"/>
            <w:r w:rsidRPr="008E0628">
              <w:rPr>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18,4</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36,7</w:t>
            </w:r>
          </w:p>
        </w:tc>
      </w:tr>
      <w:tr w:rsidR="008E0628" w:rsidRPr="008E0628" w:rsidTr="00111BCB">
        <w:trPr>
          <w:trHeight w:val="144"/>
          <w:jc w:val="center"/>
        </w:trPr>
        <w:tc>
          <w:tcPr>
            <w:tcW w:w="0" w:type="auto"/>
            <w:gridSpan w:val="3"/>
            <w:tcBorders>
              <w:top w:val="single" w:sz="8" w:space="0" w:color="000000"/>
              <w:left w:val="double" w:sz="4" w:space="0" w:color="auto"/>
              <w:bottom w:val="single" w:sz="8" w:space="0" w:color="000000"/>
              <w:right w:val="double" w:sz="4" w:space="0" w:color="auto"/>
            </w:tcBorders>
          </w:tcPr>
          <w:p w:rsidR="008E0628" w:rsidRPr="008E0628" w:rsidRDefault="008E0628" w:rsidP="008E0628">
            <w:pPr>
              <w:pStyle w:val="Default"/>
              <w:keepNext/>
              <w:keepLines/>
              <w:jc w:val="both"/>
              <w:rPr>
                <w:sz w:val="20"/>
                <w:szCs w:val="20"/>
                <w:lang w:val="en-US"/>
              </w:rPr>
            </w:pPr>
            <w:r w:rsidRPr="008E0628">
              <w:rPr>
                <w:sz w:val="20"/>
                <w:szCs w:val="20"/>
                <w:lang w:val="en-US"/>
              </w:rPr>
              <w:t xml:space="preserve">SECTOR </w:t>
            </w:r>
          </w:p>
        </w:tc>
      </w:tr>
      <w:tr w:rsidR="008E0628" w:rsidRPr="008E0628" w:rsidTr="00111BCB">
        <w:trPr>
          <w:trHeight w:val="144"/>
          <w:jc w:val="center"/>
        </w:trPr>
        <w:tc>
          <w:tcPr>
            <w:tcW w:w="0" w:type="auto"/>
            <w:tcBorders>
              <w:top w:val="single" w:sz="8" w:space="0" w:color="000000"/>
              <w:left w:val="double" w:sz="4" w:space="0" w:color="auto"/>
              <w:bottom w:val="single" w:sz="8" w:space="0" w:color="000000"/>
              <w:right w:val="single" w:sz="8" w:space="0" w:color="000000"/>
            </w:tcBorders>
          </w:tcPr>
          <w:p w:rsidR="008E0628" w:rsidRPr="008E0628" w:rsidRDefault="008E0628" w:rsidP="008E0628">
            <w:pPr>
              <w:pStyle w:val="Default"/>
              <w:keepNext/>
              <w:keepLines/>
              <w:jc w:val="both"/>
              <w:rPr>
                <w:sz w:val="20"/>
                <w:szCs w:val="20"/>
                <w:lang w:val="en-US"/>
              </w:rPr>
            </w:pPr>
            <w:proofErr w:type="spellStart"/>
            <w:r w:rsidRPr="008E0628">
              <w:rPr>
                <w:sz w:val="20"/>
                <w:szCs w:val="20"/>
                <w:lang w:val="en-US"/>
              </w:rPr>
              <w:t>Privado</w:t>
            </w:r>
            <w:proofErr w:type="spellEnd"/>
            <w:r w:rsidRPr="008E0628">
              <w:rPr>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15,1</w:t>
            </w:r>
          </w:p>
        </w:tc>
        <w:tc>
          <w:tcPr>
            <w:tcW w:w="0" w:type="auto"/>
            <w:tcBorders>
              <w:top w:val="single" w:sz="8" w:space="0" w:color="000000"/>
              <w:left w:val="single" w:sz="8" w:space="0" w:color="000000"/>
              <w:bottom w:val="single" w:sz="8" w:space="0" w:color="000000"/>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42,4</w:t>
            </w:r>
          </w:p>
        </w:tc>
      </w:tr>
      <w:tr w:rsidR="008E0628" w:rsidRPr="008E0628" w:rsidTr="00111BCB">
        <w:trPr>
          <w:trHeight w:val="144"/>
          <w:jc w:val="center"/>
        </w:trPr>
        <w:tc>
          <w:tcPr>
            <w:tcW w:w="0" w:type="auto"/>
            <w:tcBorders>
              <w:top w:val="single" w:sz="8" w:space="0" w:color="000000"/>
              <w:left w:val="double" w:sz="4" w:space="0" w:color="auto"/>
              <w:bottom w:val="double" w:sz="4" w:space="0" w:color="auto"/>
              <w:right w:val="single" w:sz="8" w:space="0" w:color="000000"/>
            </w:tcBorders>
          </w:tcPr>
          <w:p w:rsidR="008E0628" w:rsidRPr="008E0628" w:rsidRDefault="008E0628" w:rsidP="008E0628">
            <w:pPr>
              <w:pStyle w:val="Default"/>
              <w:keepNext/>
              <w:keepLines/>
              <w:jc w:val="both"/>
              <w:rPr>
                <w:sz w:val="20"/>
                <w:szCs w:val="20"/>
                <w:lang w:val="en-US"/>
              </w:rPr>
            </w:pPr>
            <w:proofErr w:type="spellStart"/>
            <w:r w:rsidRPr="008E0628">
              <w:rPr>
                <w:sz w:val="20"/>
                <w:szCs w:val="20"/>
                <w:lang w:val="en-US"/>
              </w:rPr>
              <w:t>Público</w:t>
            </w:r>
            <w:proofErr w:type="spellEnd"/>
            <w:r w:rsidRPr="008E0628">
              <w:rPr>
                <w:sz w:val="20"/>
                <w:szCs w:val="20"/>
                <w:lang w:val="en-US"/>
              </w:rPr>
              <w:t xml:space="preserve"> </w:t>
            </w:r>
          </w:p>
        </w:tc>
        <w:tc>
          <w:tcPr>
            <w:tcW w:w="0" w:type="auto"/>
            <w:tcBorders>
              <w:top w:val="single" w:sz="8" w:space="0" w:color="000000"/>
              <w:left w:val="single" w:sz="8" w:space="0" w:color="000000"/>
              <w:bottom w:val="double" w:sz="4" w:space="0" w:color="auto"/>
              <w:right w:val="single" w:sz="8" w:space="0" w:color="000000"/>
            </w:tcBorders>
          </w:tcPr>
          <w:p w:rsidR="008E0628" w:rsidRPr="008E0628" w:rsidRDefault="008E0628" w:rsidP="008E0628">
            <w:pPr>
              <w:pStyle w:val="Default"/>
              <w:keepNext/>
              <w:keepLines/>
              <w:jc w:val="center"/>
              <w:rPr>
                <w:sz w:val="20"/>
                <w:szCs w:val="20"/>
                <w:lang w:val="en-US"/>
              </w:rPr>
            </w:pPr>
            <w:r w:rsidRPr="008E0628">
              <w:rPr>
                <w:sz w:val="20"/>
                <w:szCs w:val="20"/>
                <w:lang w:val="en-US"/>
              </w:rPr>
              <w:t>31,0</w:t>
            </w:r>
          </w:p>
        </w:tc>
        <w:tc>
          <w:tcPr>
            <w:tcW w:w="0" w:type="auto"/>
            <w:tcBorders>
              <w:top w:val="single" w:sz="8" w:space="0" w:color="000000"/>
              <w:left w:val="single" w:sz="8" w:space="0" w:color="000000"/>
              <w:bottom w:val="double" w:sz="4" w:space="0" w:color="auto"/>
              <w:right w:val="double" w:sz="4" w:space="0" w:color="auto"/>
            </w:tcBorders>
          </w:tcPr>
          <w:p w:rsidR="008E0628" w:rsidRPr="008E0628" w:rsidRDefault="008E0628" w:rsidP="008E0628">
            <w:pPr>
              <w:pStyle w:val="Default"/>
              <w:keepNext/>
              <w:keepLines/>
              <w:jc w:val="center"/>
              <w:rPr>
                <w:sz w:val="20"/>
                <w:szCs w:val="20"/>
                <w:lang w:val="en-US"/>
              </w:rPr>
            </w:pPr>
            <w:r w:rsidRPr="008E0628">
              <w:rPr>
                <w:sz w:val="20"/>
                <w:szCs w:val="20"/>
                <w:lang w:val="en-US"/>
              </w:rPr>
              <w:t>63,4</w:t>
            </w:r>
          </w:p>
        </w:tc>
      </w:tr>
    </w:tbl>
    <w:p w:rsidR="008E0628" w:rsidRPr="008E0628" w:rsidRDefault="008E0628" w:rsidP="008E0628">
      <w:pPr>
        <w:keepNext/>
        <w:keepLines/>
        <w:autoSpaceDE w:val="0"/>
        <w:autoSpaceDN w:val="0"/>
        <w:adjustRightInd w:val="0"/>
        <w:spacing w:after="0" w:line="240" w:lineRule="auto"/>
        <w:jc w:val="center"/>
        <w:rPr>
          <w:rFonts w:ascii="Verdana" w:hAnsi="Verdana" w:cs="Calibri"/>
          <w:sz w:val="20"/>
          <w:szCs w:val="20"/>
        </w:rPr>
      </w:pPr>
      <w:r w:rsidRPr="008E0628">
        <w:rPr>
          <w:rFonts w:ascii="Verdana" w:hAnsi="Verdana" w:cs="Calibri"/>
          <w:sz w:val="20"/>
          <w:szCs w:val="20"/>
        </w:rPr>
        <w:t>Fuente: con datos de ECVT 2010</w:t>
      </w:r>
    </w:p>
    <w:p w:rsidR="008E0628" w:rsidRPr="008E0628" w:rsidRDefault="008E0628" w:rsidP="008E0628">
      <w:pPr>
        <w:spacing w:after="0" w:line="240" w:lineRule="auto"/>
        <w:jc w:val="both"/>
        <w:rPr>
          <w:rFonts w:ascii="Verdana" w:hAnsi="Verdana" w:cs="Calibri"/>
        </w:rPr>
      </w:pPr>
    </w:p>
    <w:p w:rsidR="008E0628" w:rsidRPr="008E0628" w:rsidRDefault="008E0628" w:rsidP="008E0628">
      <w:pPr>
        <w:spacing w:after="0" w:line="240" w:lineRule="auto"/>
        <w:jc w:val="both"/>
        <w:rPr>
          <w:rFonts w:ascii="Verdana" w:hAnsi="Verdana" w:cs="Arial"/>
        </w:rPr>
      </w:pPr>
      <w:r w:rsidRPr="008E0628">
        <w:rPr>
          <w:rFonts w:ascii="Verdana" w:hAnsi="Verdana" w:cs="Arial"/>
        </w:rPr>
        <w:t>Cabe señalar que junto a la afiliación directa y la representación electoral, otro indicador cuantificable de la intervención sindical en nuestro país es el de su participación en la negociación colectiva que, según la legislación vigente ejercen los sindicatos en función de la representatividad acreditada.</w:t>
      </w:r>
    </w:p>
    <w:p w:rsidR="008E0628" w:rsidRPr="008E0628" w:rsidRDefault="008E0628" w:rsidP="008E0628">
      <w:pPr>
        <w:spacing w:after="0" w:line="240" w:lineRule="auto"/>
        <w:jc w:val="both"/>
        <w:rPr>
          <w:rFonts w:ascii="Verdana" w:hAnsi="Verdana" w:cs="Arial"/>
        </w:rPr>
      </w:pPr>
      <w:r w:rsidRPr="008E0628">
        <w:rPr>
          <w:rFonts w:ascii="Verdana" w:hAnsi="Verdana" w:cs="Arial"/>
        </w:rPr>
        <w:t>Según el último informe publicado por la Comisión Europea (</w:t>
      </w:r>
      <w:r w:rsidRPr="008E0628">
        <w:rPr>
          <w:rFonts w:ascii="Verdana" w:hAnsi="Verdana" w:cs="Arial"/>
          <w:i/>
        </w:rPr>
        <w:t xml:space="preserve">Industrial </w:t>
      </w:r>
      <w:proofErr w:type="spellStart"/>
      <w:r w:rsidRPr="008E0628">
        <w:rPr>
          <w:rFonts w:ascii="Verdana" w:hAnsi="Verdana" w:cs="Arial"/>
          <w:i/>
        </w:rPr>
        <w:t>Relations</w:t>
      </w:r>
      <w:proofErr w:type="spellEnd"/>
      <w:r w:rsidRPr="008E0628">
        <w:rPr>
          <w:rFonts w:ascii="Verdana" w:hAnsi="Verdana" w:cs="Arial"/>
          <w:i/>
        </w:rPr>
        <w:t xml:space="preserve"> in </w:t>
      </w:r>
      <w:proofErr w:type="spellStart"/>
      <w:r w:rsidRPr="008E0628">
        <w:rPr>
          <w:rFonts w:ascii="Verdana" w:hAnsi="Verdana" w:cs="Arial"/>
          <w:i/>
        </w:rPr>
        <w:t>Europe</w:t>
      </w:r>
      <w:proofErr w:type="spellEnd"/>
      <w:r w:rsidRPr="008E0628">
        <w:rPr>
          <w:rFonts w:ascii="Verdana" w:hAnsi="Verdana" w:cs="Arial"/>
          <w:i/>
        </w:rPr>
        <w:t xml:space="preserve"> 2012), </w:t>
      </w:r>
      <w:r w:rsidRPr="008E0628">
        <w:rPr>
          <w:rFonts w:ascii="Verdana" w:hAnsi="Verdana" w:cs="Arial"/>
        </w:rPr>
        <w:t>la tasa de cobertura del sistema español de negociación colectiva se situaría en torno al 90%, sensiblemente superior a la media comunitaria, si bien la última reforma laboral amenaza con quebrar dicho modelo garantista (</w:t>
      </w:r>
      <w:proofErr w:type="spellStart"/>
      <w:r w:rsidRPr="008E0628">
        <w:rPr>
          <w:rFonts w:ascii="Verdana" w:hAnsi="Verdana" w:cs="Arial"/>
        </w:rPr>
        <w:t>Baylos</w:t>
      </w:r>
      <w:proofErr w:type="spellEnd"/>
      <w:r w:rsidRPr="008E0628">
        <w:rPr>
          <w:rFonts w:ascii="Verdana" w:hAnsi="Verdana" w:cs="Arial"/>
        </w:rPr>
        <w:t xml:space="preserve">, 2012; Valdés </w:t>
      </w:r>
      <w:proofErr w:type="spellStart"/>
      <w:r w:rsidRPr="008E0628">
        <w:rPr>
          <w:rFonts w:ascii="Verdana" w:hAnsi="Verdana" w:cs="Arial"/>
        </w:rPr>
        <w:t>Dal-Ré</w:t>
      </w:r>
      <w:proofErr w:type="spellEnd"/>
      <w:r w:rsidRPr="008E0628">
        <w:rPr>
          <w:rFonts w:ascii="Verdana" w:hAnsi="Verdana" w:cs="Arial"/>
        </w:rPr>
        <w:t>, 2013).</w:t>
      </w:r>
    </w:p>
    <w:p w:rsidR="008E0628" w:rsidRDefault="008E0628" w:rsidP="008E0628">
      <w:pPr>
        <w:autoSpaceDE w:val="0"/>
        <w:spacing w:after="0" w:line="240" w:lineRule="auto"/>
        <w:jc w:val="both"/>
        <w:rPr>
          <w:rFonts w:ascii="Verdana" w:hAnsi="Verdana" w:cs="Tisa"/>
        </w:rPr>
      </w:pPr>
    </w:p>
    <w:p w:rsidR="008E0628" w:rsidRPr="008E0628" w:rsidRDefault="008E0628" w:rsidP="008E0628">
      <w:pPr>
        <w:autoSpaceDE w:val="0"/>
        <w:spacing w:after="0" w:line="240" w:lineRule="auto"/>
        <w:jc w:val="both"/>
        <w:rPr>
          <w:rFonts w:ascii="Verdana" w:hAnsi="Verdana" w:cs="Tisa"/>
        </w:rPr>
      </w:pPr>
      <w:r w:rsidRPr="008E0628">
        <w:rPr>
          <w:rFonts w:ascii="Verdana" w:hAnsi="Verdana" w:cs="Tisa"/>
        </w:rPr>
        <w:t>Conforme a la legislación vigente, la negociación de los convenios colectivos corresponde a los representantes electos a nivel de empresa (delegados y Comités), cuando se trata de convenios de este ámbito (2.854 en 2012, para un total de 838.700 trabajadores</w:t>
      </w:r>
      <w:r w:rsidRPr="008E0628">
        <w:rPr>
          <w:rStyle w:val="Refdenotaalpie"/>
          <w:rFonts w:ascii="Verdana" w:hAnsi="Verdana"/>
        </w:rPr>
        <w:footnoteReference w:id="29"/>
      </w:r>
      <w:r w:rsidRPr="008E0628">
        <w:rPr>
          <w:rFonts w:ascii="Verdana" w:hAnsi="Verdana" w:cs="Tisa"/>
        </w:rPr>
        <w:t>) y a los sindicatos más representativos para los de ámbito superior (1.027 convenios y 8.597.600 trabajadores), lo que se traduce en una distribución de la representación (</w:t>
      </w:r>
      <w:r w:rsidRPr="008E0628">
        <w:rPr>
          <w:rFonts w:ascii="Verdana" w:hAnsi="Verdana" w:cs="Tisa-Ita"/>
        </w:rPr>
        <w:t>tabla 2.10</w:t>
      </w:r>
      <w:r w:rsidRPr="008E0628">
        <w:rPr>
          <w:rFonts w:ascii="Verdana" w:hAnsi="Verdana" w:cs="Tisa"/>
        </w:rPr>
        <w:t>) concentrada mayoritariamente en torno a CCOO y UGT, que asumen así legítimamente la interlocución y defensa de la práctica totalidad de los trabajadores. Cabe hacer constar en este punto, que la aplicación de la reforma laboral (Ley 3/2012) puede suponer una caída en la cobertura del sistema.</w:t>
      </w:r>
    </w:p>
    <w:p w:rsidR="008E0628" w:rsidRPr="008E0628" w:rsidRDefault="008E0628" w:rsidP="008E0628">
      <w:pPr>
        <w:autoSpaceDE w:val="0"/>
        <w:spacing w:after="0" w:line="240" w:lineRule="auto"/>
        <w:rPr>
          <w:rFonts w:ascii="Verdana" w:hAnsi="Verdana" w:cs="Tisa"/>
          <w:color w:val="000000"/>
        </w:rPr>
      </w:pPr>
    </w:p>
    <w:p w:rsidR="008E0628" w:rsidRDefault="008E0628" w:rsidP="008E0628">
      <w:pPr>
        <w:autoSpaceDE w:val="0"/>
        <w:spacing w:after="0" w:line="240" w:lineRule="auto"/>
        <w:jc w:val="center"/>
        <w:rPr>
          <w:rFonts w:ascii="Verdana" w:hAnsi="Verdana" w:cs="Tisa"/>
          <w:color w:val="000000"/>
        </w:rPr>
      </w:pPr>
    </w:p>
    <w:p w:rsidR="008E0628" w:rsidRDefault="008E0628" w:rsidP="008E0628">
      <w:pPr>
        <w:autoSpaceDE w:val="0"/>
        <w:spacing w:after="0" w:line="240" w:lineRule="auto"/>
        <w:jc w:val="center"/>
        <w:rPr>
          <w:rFonts w:ascii="Verdana" w:hAnsi="Verdana" w:cs="Tisa"/>
          <w:color w:val="000000"/>
        </w:rPr>
      </w:pPr>
      <w:r>
        <w:rPr>
          <w:rFonts w:ascii="Verdana" w:hAnsi="Verdana" w:cs="Tisa"/>
          <w:color w:val="000000"/>
        </w:rPr>
        <w:lastRenderedPageBreak/>
        <w:t>Tabla 3</w:t>
      </w:r>
      <w:r w:rsidRPr="008E0628">
        <w:rPr>
          <w:rFonts w:ascii="Verdana" w:hAnsi="Verdana" w:cs="Tisa"/>
          <w:color w:val="000000"/>
        </w:rPr>
        <w:t>.10. La representación sindical en la negociación colectiva, 2012 (datos provisionales a 30/9/2013)</w:t>
      </w:r>
    </w:p>
    <w:p w:rsidR="008E0628" w:rsidRPr="008E0628" w:rsidRDefault="008E0628" w:rsidP="008E0628">
      <w:pPr>
        <w:autoSpaceDE w:val="0"/>
        <w:spacing w:after="0" w:line="240" w:lineRule="auto"/>
        <w:jc w:val="center"/>
        <w:rPr>
          <w:rFonts w:ascii="Verdana" w:hAnsi="Verdana" w:cs="Tisa"/>
          <w:color w:val="000000"/>
        </w:rPr>
      </w:pPr>
    </w:p>
    <w:tbl>
      <w:tblPr>
        <w:tblW w:w="0" w:type="auto"/>
        <w:jc w:val="center"/>
        <w:tblInd w:w="-5" w:type="dxa"/>
        <w:tblLook w:val="04A0" w:firstRow="1" w:lastRow="0" w:firstColumn="1" w:lastColumn="0" w:noHBand="0" w:noVBand="1"/>
      </w:tblPr>
      <w:tblGrid>
        <w:gridCol w:w="1828"/>
        <w:gridCol w:w="1149"/>
        <w:gridCol w:w="833"/>
        <w:gridCol w:w="1252"/>
        <w:gridCol w:w="671"/>
      </w:tblGrid>
      <w:tr w:rsidR="008E0628" w:rsidRPr="008E0628" w:rsidTr="00111BCB">
        <w:trPr>
          <w:jc w:val="center"/>
        </w:trPr>
        <w:tc>
          <w:tcPr>
            <w:tcW w:w="0" w:type="auto"/>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autoSpaceDE w:val="0"/>
              <w:snapToGrid w:val="0"/>
              <w:spacing w:after="0" w:line="240" w:lineRule="auto"/>
              <w:rPr>
                <w:rFonts w:ascii="Verdana" w:hAnsi="Verdana" w:cs="Tisa"/>
                <w:color w:val="000000"/>
                <w:sz w:val="20"/>
                <w:szCs w:val="20"/>
              </w:rPr>
            </w:pPr>
          </w:p>
        </w:tc>
        <w:tc>
          <w:tcPr>
            <w:tcW w:w="0" w:type="auto"/>
            <w:gridSpan w:val="2"/>
            <w:tcBorders>
              <w:top w:val="single" w:sz="4" w:space="0" w:color="000000"/>
              <w:left w:val="single" w:sz="4" w:space="0" w:color="000000"/>
              <w:bottom w:val="single" w:sz="4" w:space="0" w:color="000000"/>
              <w:right w:val="nil"/>
            </w:tcBorders>
            <w:shd w:val="clear" w:color="auto" w:fill="D9D9D9"/>
          </w:tcPr>
          <w:p w:rsidR="008E0628" w:rsidRPr="008E0628" w:rsidRDefault="008E0628" w:rsidP="008E0628">
            <w:pPr>
              <w:autoSpaceDE w:val="0"/>
              <w:snapToGrid w:val="0"/>
              <w:spacing w:after="0" w:line="240" w:lineRule="auto"/>
              <w:jc w:val="center"/>
              <w:rPr>
                <w:rFonts w:ascii="Verdana" w:hAnsi="Verdana" w:cs="Tisa"/>
                <w:b/>
                <w:color w:val="000000"/>
                <w:sz w:val="20"/>
                <w:szCs w:val="20"/>
                <w:lang w:val="en-US"/>
              </w:rPr>
            </w:pPr>
            <w:proofErr w:type="spellStart"/>
            <w:r w:rsidRPr="008E0628">
              <w:rPr>
                <w:rFonts w:ascii="Verdana" w:hAnsi="Verdana" w:cs="Tisa"/>
                <w:b/>
                <w:color w:val="000000"/>
                <w:sz w:val="20"/>
                <w:szCs w:val="20"/>
                <w:lang w:val="en-US"/>
              </w:rPr>
              <w:t>Representantes</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Pr>
          <w:p w:rsidR="008E0628" w:rsidRPr="008E0628" w:rsidRDefault="008E0628" w:rsidP="008E0628">
            <w:pPr>
              <w:autoSpaceDE w:val="0"/>
              <w:snapToGrid w:val="0"/>
              <w:spacing w:after="0" w:line="240" w:lineRule="auto"/>
              <w:jc w:val="center"/>
              <w:rPr>
                <w:rFonts w:ascii="Verdana" w:hAnsi="Verdana" w:cs="Tisa"/>
                <w:b/>
                <w:color w:val="000000"/>
                <w:sz w:val="20"/>
                <w:szCs w:val="20"/>
                <w:lang w:val="en-US"/>
              </w:rPr>
            </w:pPr>
            <w:proofErr w:type="spellStart"/>
            <w:r w:rsidRPr="008E0628">
              <w:rPr>
                <w:rFonts w:ascii="Verdana" w:hAnsi="Verdana" w:cs="Tisa"/>
                <w:b/>
                <w:color w:val="000000"/>
                <w:sz w:val="20"/>
                <w:szCs w:val="20"/>
                <w:lang w:val="en-US"/>
              </w:rPr>
              <w:t>Trabajadores</w:t>
            </w:r>
            <w:proofErr w:type="spellEnd"/>
          </w:p>
        </w:tc>
      </w:tr>
      <w:tr w:rsidR="008E0628" w:rsidRPr="008E0628" w:rsidTr="00111BCB">
        <w:trPr>
          <w:jc w:val="center"/>
        </w:trPr>
        <w:tc>
          <w:tcPr>
            <w:tcW w:w="0" w:type="auto"/>
            <w:tcBorders>
              <w:top w:val="nil"/>
              <w:left w:val="single" w:sz="4" w:space="0" w:color="000000"/>
              <w:bottom w:val="single" w:sz="4" w:space="0" w:color="000000"/>
              <w:right w:val="nil"/>
            </w:tcBorders>
            <w:shd w:val="clear" w:color="auto" w:fill="D9D9D9"/>
          </w:tcPr>
          <w:p w:rsidR="008E0628" w:rsidRPr="008E0628" w:rsidRDefault="008E0628" w:rsidP="008E0628">
            <w:pPr>
              <w:autoSpaceDE w:val="0"/>
              <w:snapToGrid w:val="0"/>
              <w:spacing w:after="0" w:line="240" w:lineRule="auto"/>
              <w:rPr>
                <w:rFonts w:ascii="Verdana" w:hAnsi="Verdana" w:cs="Tisa"/>
                <w:color w:val="000000"/>
                <w:sz w:val="20"/>
                <w:szCs w:val="20"/>
                <w:lang w:val="en-US"/>
              </w:rPr>
            </w:pPr>
          </w:p>
        </w:tc>
        <w:tc>
          <w:tcPr>
            <w:tcW w:w="0" w:type="auto"/>
            <w:tcBorders>
              <w:top w:val="nil"/>
              <w:left w:val="single" w:sz="4" w:space="0" w:color="000000"/>
              <w:bottom w:val="single" w:sz="4" w:space="0" w:color="000000"/>
              <w:right w:val="nil"/>
            </w:tcBorders>
            <w:shd w:val="clear" w:color="auto" w:fill="D9D9D9"/>
          </w:tcPr>
          <w:p w:rsidR="008E0628" w:rsidRPr="008E0628" w:rsidRDefault="008E0628" w:rsidP="008E0628">
            <w:pPr>
              <w:autoSpaceDE w:val="0"/>
              <w:snapToGrid w:val="0"/>
              <w:spacing w:after="0" w:line="240" w:lineRule="auto"/>
              <w:jc w:val="center"/>
              <w:rPr>
                <w:rFonts w:ascii="Verdana" w:hAnsi="Verdana" w:cs="Tisa"/>
                <w:b/>
                <w:color w:val="000000"/>
                <w:sz w:val="20"/>
                <w:szCs w:val="20"/>
                <w:lang w:val="en-US"/>
              </w:rPr>
            </w:pPr>
            <w:proofErr w:type="spellStart"/>
            <w:r w:rsidRPr="008E0628">
              <w:rPr>
                <w:rFonts w:ascii="Verdana" w:hAnsi="Verdana" w:cs="Tisa"/>
                <w:b/>
                <w:color w:val="000000"/>
                <w:sz w:val="20"/>
                <w:szCs w:val="20"/>
                <w:lang w:val="en-US"/>
              </w:rPr>
              <w:t>Núm</w:t>
            </w:r>
            <w:proofErr w:type="spellEnd"/>
            <w:r w:rsidRPr="008E0628">
              <w:rPr>
                <w:rFonts w:ascii="Verdana" w:hAnsi="Verdana" w:cs="Tisa"/>
                <w:b/>
                <w:color w:val="000000"/>
                <w:sz w:val="20"/>
                <w:szCs w:val="20"/>
                <w:lang w:val="en-US"/>
              </w:rPr>
              <w:t>.</w:t>
            </w:r>
          </w:p>
        </w:tc>
        <w:tc>
          <w:tcPr>
            <w:tcW w:w="0" w:type="auto"/>
            <w:tcBorders>
              <w:top w:val="nil"/>
              <w:left w:val="single" w:sz="4" w:space="0" w:color="000000"/>
              <w:bottom w:val="single" w:sz="4" w:space="0" w:color="000000"/>
              <w:right w:val="nil"/>
            </w:tcBorders>
            <w:shd w:val="clear" w:color="auto" w:fill="D9D9D9"/>
          </w:tcPr>
          <w:p w:rsidR="008E0628" w:rsidRPr="008E0628" w:rsidRDefault="008E0628" w:rsidP="008E0628">
            <w:pPr>
              <w:autoSpaceDE w:val="0"/>
              <w:snapToGrid w:val="0"/>
              <w:spacing w:after="0" w:line="240" w:lineRule="auto"/>
              <w:jc w:val="center"/>
              <w:rPr>
                <w:rFonts w:ascii="Verdana" w:hAnsi="Verdana" w:cs="Tisa"/>
                <w:b/>
                <w:color w:val="000000"/>
                <w:sz w:val="20"/>
                <w:szCs w:val="20"/>
                <w:lang w:val="en-US"/>
              </w:rPr>
            </w:pPr>
            <w:r w:rsidRPr="008E0628">
              <w:rPr>
                <w:rFonts w:ascii="Verdana" w:hAnsi="Verdana" w:cs="Tisa"/>
                <w:b/>
                <w:color w:val="000000"/>
                <w:sz w:val="20"/>
                <w:szCs w:val="20"/>
                <w:lang w:val="en-US"/>
              </w:rPr>
              <w:t>%</w:t>
            </w:r>
          </w:p>
        </w:tc>
        <w:tc>
          <w:tcPr>
            <w:tcW w:w="0" w:type="auto"/>
            <w:tcBorders>
              <w:top w:val="nil"/>
              <w:left w:val="single" w:sz="4" w:space="0" w:color="000000"/>
              <w:bottom w:val="single" w:sz="4" w:space="0" w:color="000000"/>
              <w:right w:val="nil"/>
            </w:tcBorders>
            <w:shd w:val="clear" w:color="auto" w:fill="D9D9D9"/>
          </w:tcPr>
          <w:p w:rsidR="008E0628" w:rsidRPr="008E0628" w:rsidRDefault="008E0628" w:rsidP="008E0628">
            <w:pPr>
              <w:autoSpaceDE w:val="0"/>
              <w:snapToGrid w:val="0"/>
              <w:spacing w:after="0" w:line="240" w:lineRule="auto"/>
              <w:jc w:val="center"/>
              <w:rPr>
                <w:rFonts w:ascii="Verdana" w:hAnsi="Verdana" w:cs="Tisa"/>
                <w:b/>
                <w:color w:val="000000"/>
                <w:sz w:val="20"/>
                <w:szCs w:val="20"/>
                <w:lang w:val="en-US"/>
              </w:rPr>
            </w:pPr>
            <w:proofErr w:type="spellStart"/>
            <w:r w:rsidRPr="008E0628">
              <w:rPr>
                <w:rFonts w:ascii="Verdana" w:hAnsi="Verdana" w:cs="Tisa"/>
                <w:b/>
                <w:color w:val="000000"/>
                <w:sz w:val="20"/>
                <w:szCs w:val="20"/>
                <w:lang w:val="en-US"/>
              </w:rPr>
              <w:t>Núm</w:t>
            </w:r>
            <w:proofErr w:type="spellEnd"/>
            <w:r w:rsidRPr="008E0628">
              <w:rPr>
                <w:rFonts w:ascii="Verdana" w:hAnsi="Verdana" w:cs="Tisa"/>
                <w:b/>
                <w:color w:val="000000"/>
                <w:sz w:val="20"/>
                <w:szCs w:val="20"/>
                <w:lang w:val="en-US"/>
              </w:rPr>
              <w:t>.</w:t>
            </w:r>
          </w:p>
        </w:tc>
        <w:tc>
          <w:tcPr>
            <w:tcW w:w="0" w:type="auto"/>
            <w:tcBorders>
              <w:top w:val="nil"/>
              <w:left w:val="single" w:sz="4" w:space="0" w:color="000000"/>
              <w:bottom w:val="single" w:sz="4" w:space="0" w:color="000000"/>
              <w:right w:val="single" w:sz="4" w:space="0" w:color="000000"/>
            </w:tcBorders>
            <w:shd w:val="clear" w:color="auto" w:fill="D9D9D9"/>
          </w:tcPr>
          <w:p w:rsidR="008E0628" w:rsidRPr="008E0628" w:rsidRDefault="008E0628" w:rsidP="008E0628">
            <w:pPr>
              <w:autoSpaceDE w:val="0"/>
              <w:snapToGrid w:val="0"/>
              <w:spacing w:after="0" w:line="240" w:lineRule="auto"/>
              <w:jc w:val="center"/>
              <w:rPr>
                <w:rFonts w:ascii="Verdana" w:hAnsi="Verdana" w:cs="Tisa"/>
                <w:b/>
                <w:color w:val="000000"/>
                <w:sz w:val="20"/>
                <w:szCs w:val="20"/>
                <w:lang w:val="en-US"/>
              </w:rPr>
            </w:pPr>
            <w:r w:rsidRPr="008E0628">
              <w:rPr>
                <w:rFonts w:ascii="Verdana" w:hAnsi="Verdana" w:cs="Tisa"/>
                <w:b/>
                <w:color w:val="000000"/>
                <w:sz w:val="20"/>
                <w:szCs w:val="20"/>
                <w:lang w:val="en-US"/>
              </w:rPr>
              <w:t>%</w:t>
            </w:r>
          </w:p>
        </w:tc>
      </w:tr>
      <w:tr w:rsidR="008E0628" w:rsidRPr="008E0628" w:rsidTr="00111BCB">
        <w:trPr>
          <w:jc w:val="center"/>
        </w:trPr>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rPr>
                <w:rFonts w:ascii="Verdana" w:hAnsi="Verdana" w:cs="Tisa"/>
                <w:color w:val="000000"/>
                <w:sz w:val="20"/>
                <w:szCs w:val="20"/>
                <w:lang w:val="en-US"/>
              </w:rPr>
            </w:pPr>
            <w:r w:rsidRPr="008E0628">
              <w:rPr>
                <w:rFonts w:ascii="Verdana" w:hAnsi="Verdana" w:cs="Tisa"/>
                <w:color w:val="000000"/>
                <w:sz w:val="20"/>
                <w:szCs w:val="20"/>
                <w:lang w:val="en-US"/>
              </w:rPr>
              <w:t>CCOO</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right"/>
              <w:rPr>
                <w:rFonts w:ascii="Verdana" w:hAnsi="Verdana" w:cs="Tisa"/>
                <w:color w:val="000000"/>
                <w:sz w:val="20"/>
                <w:szCs w:val="20"/>
                <w:lang w:val="en-US"/>
              </w:rPr>
            </w:pPr>
            <w:r w:rsidRPr="008E0628">
              <w:rPr>
                <w:rFonts w:ascii="Verdana" w:hAnsi="Verdana" w:cs="Tisa"/>
                <w:color w:val="000000"/>
                <w:sz w:val="20"/>
                <w:szCs w:val="20"/>
                <w:lang w:val="en-US"/>
              </w:rPr>
              <w:t>9.086</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center"/>
              <w:rPr>
                <w:rFonts w:ascii="Verdana" w:hAnsi="Verdana" w:cs="Tisa"/>
                <w:color w:val="000000"/>
                <w:sz w:val="20"/>
                <w:szCs w:val="20"/>
                <w:lang w:val="en-US"/>
              </w:rPr>
            </w:pPr>
            <w:r w:rsidRPr="008E0628">
              <w:rPr>
                <w:rFonts w:ascii="Verdana" w:hAnsi="Verdana" w:cs="Tisa"/>
                <w:color w:val="000000"/>
                <w:sz w:val="20"/>
                <w:szCs w:val="20"/>
                <w:lang w:val="en-US"/>
              </w:rPr>
              <w:t>34,7</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right"/>
              <w:rPr>
                <w:rFonts w:ascii="Verdana" w:hAnsi="Verdana" w:cs="Tisa"/>
                <w:color w:val="000000"/>
                <w:sz w:val="20"/>
                <w:szCs w:val="20"/>
                <w:lang w:val="en-US"/>
              </w:rPr>
            </w:pPr>
            <w:r w:rsidRPr="008E0628">
              <w:rPr>
                <w:rFonts w:ascii="Verdana" w:hAnsi="Verdana" w:cs="Tisa"/>
                <w:color w:val="000000"/>
                <w:sz w:val="20"/>
                <w:szCs w:val="20"/>
                <w:lang w:val="en-US"/>
              </w:rPr>
              <w:t>8.376.422</w:t>
            </w:r>
          </w:p>
        </w:tc>
        <w:tc>
          <w:tcPr>
            <w:tcW w:w="0" w:type="auto"/>
            <w:tcBorders>
              <w:top w:val="nil"/>
              <w:left w:val="single" w:sz="4" w:space="0" w:color="000000"/>
              <w:bottom w:val="single" w:sz="4" w:space="0" w:color="000000"/>
              <w:right w:val="single" w:sz="4" w:space="0" w:color="000000"/>
            </w:tcBorders>
          </w:tcPr>
          <w:p w:rsidR="008E0628" w:rsidRPr="008E0628" w:rsidRDefault="008E0628" w:rsidP="008E0628">
            <w:pPr>
              <w:autoSpaceDE w:val="0"/>
              <w:snapToGrid w:val="0"/>
              <w:spacing w:after="0" w:line="240" w:lineRule="auto"/>
              <w:jc w:val="center"/>
              <w:rPr>
                <w:rFonts w:ascii="Verdana" w:hAnsi="Verdana" w:cs="Tisa"/>
                <w:color w:val="000000"/>
                <w:sz w:val="20"/>
                <w:szCs w:val="20"/>
                <w:lang w:val="en-US"/>
              </w:rPr>
            </w:pPr>
            <w:r w:rsidRPr="008E0628">
              <w:rPr>
                <w:rFonts w:ascii="Verdana" w:hAnsi="Verdana" w:cs="Tisa"/>
                <w:color w:val="000000"/>
                <w:sz w:val="20"/>
                <w:szCs w:val="20"/>
                <w:lang w:val="en-US"/>
              </w:rPr>
              <w:t>98,9</w:t>
            </w:r>
          </w:p>
        </w:tc>
      </w:tr>
      <w:tr w:rsidR="008E0628" w:rsidRPr="008E0628" w:rsidTr="00111BCB">
        <w:trPr>
          <w:jc w:val="center"/>
        </w:trPr>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rPr>
                <w:rFonts w:ascii="Verdana" w:hAnsi="Verdana" w:cs="Tisa"/>
                <w:color w:val="000000"/>
                <w:sz w:val="20"/>
                <w:szCs w:val="20"/>
                <w:lang w:val="en-US"/>
              </w:rPr>
            </w:pPr>
            <w:r w:rsidRPr="008E0628">
              <w:rPr>
                <w:rFonts w:ascii="Verdana" w:hAnsi="Verdana" w:cs="Tisa"/>
                <w:color w:val="000000"/>
                <w:sz w:val="20"/>
                <w:szCs w:val="20"/>
                <w:lang w:val="en-US"/>
              </w:rPr>
              <w:t>UGT</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right"/>
              <w:rPr>
                <w:rFonts w:ascii="Verdana" w:hAnsi="Verdana" w:cs="Tisa"/>
                <w:color w:val="000000"/>
                <w:sz w:val="20"/>
                <w:szCs w:val="20"/>
                <w:lang w:val="en-US"/>
              </w:rPr>
            </w:pPr>
            <w:r w:rsidRPr="008E0628">
              <w:rPr>
                <w:rFonts w:ascii="Verdana" w:hAnsi="Verdana" w:cs="Tisa"/>
                <w:color w:val="000000"/>
                <w:sz w:val="20"/>
                <w:szCs w:val="20"/>
                <w:lang w:val="en-US"/>
              </w:rPr>
              <w:t>8.868</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center"/>
              <w:rPr>
                <w:rFonts w:ascii="Verdana" w:hAnsi="Verdana" w:cs="Tisa"/>
                <w:color w:val="000000"/>
                <w:sz w:val="20"/>
                <w:szCs w:val="20"/>
                <w:lang w:val="en-US"/>
              </w:rPr>
            </w:pPr>
            <w:r w:rsidRPr="008E0628">
              <w:rPr>
                <w:rFonts w:ascii="Verdana" w:hAnsi="Verdana" w:cs="Tisa"/>
                <w:color w:val="000000"/>
                <w:sz w:val="20"/>
                <w:szCs w:val="20"/>
                <w:lang w:val="en-US"/>
              </w:rPr>
              <w:t>33,9</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right"/>
              <w:rPr>
                <w:rFonts w:ascii="Verdana" w:hAnsi="Verdana" w:cs="Tisa"/>
                <w:color w:val="000000"/>
                <w:sz w:val="20"/>
                <w:szCs w:val="20"/>
                <w:lang w:val="en-US"/>
              </w:rPr>
            </w:pPr>
            <w:r w:rsidRPr="008E0628">
              <w:rPr>
                <w:rFonts w:ascii="Verdana" w:hAnsi="Verdana" w:cs="Tisa"/>
                <w:color w:val="000000"/>
                <w:sz w:val="20"/>
                <w:szCs w:val="20"/>
                <w:lang w:val="en-US"/>
              </w:rPr>
              <w:t>8.375.050</w:t>
            </w:r>
          </w:p>
        </w:tc>
        <w:tc>
          <w:tcPr>
            <w:tcW w:w="0" w:type="auto"/>
            <w:tcBorders>
              <w:top w:val="nil"/>
              <w:left w:val="single" w:sz="4" w:space="0" w:color="000000"/>
              <w:bottom w:val="single" w:sz="4" w:space="0" w:color="000000"/>
              <w:right w:val="single" w:sz="4" w:space="0" w:color="000000"/>
            </w:tcBorders>
          </w:tcPr>
          <w:p w:rsidR="008E0628" w:rsidRPr="008E0628" w:rsidRDefault="008E0628" w:rsidP="008E0628">
            <w:pPr>
              <w:autoSpaceDE w:val="0"/>
              <w:snapToGrid w:val="0"/>
              <w:spacing w:after="0" w:line="240" w:lineRule="auto"/>
              <w:jc w:val="center"/>
              <w:rPr>
                <w:rFonts w:ascii="Verdana" w:hAnsi="Verdana" w:cs="Tisa"/>
                <w:color w:val="000000"/>
                <w:sz w:val="20"/>
                <w:szCs w:val="20"/>
                <w:lang w:val="en-US"/>
              </w:rPr>
            </w:pPr>
            <w:r w:rsidRPr="008E0628">
              <w:rPr>
                <w:rFonts w:ascii="Verdana" w:hAnsi="Verdana" w:cs="Tisa"/>
                <w:color w:val="000000"/>
                <w:sz w:val="20"/>
                <w:szCs w:val="20"/>
                <w:lang w:val="en-US"/>
              </w:rPr>
              <w:t>98,2</w:t>
            </w:r>
          </w:p>
        </w:tc>
      </w:tr>
      <w:tr w:rsidR="008E0628" w:rsidRPr="008E0628" w:rsidTr="00111BCB">
        <w:trPr>
          <w:jc w:val="center"/>
        </w:trPr>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rPr>
                <w:rFonts w:ascii="Verdana" w:hAnsi="Verdana" w:cs="Tisa"/>
                <w:color w:val="000000"/>
                <w:sz w:val="20"/>
                <w:szCs w:val="20"/>
                <w:lang w:val="en-US"/>
              </w:rPr>
            </w:pPr>
            <w:proofErr w:type="spellStart"/>
            <w:r w:rsidRPr="008E0628">
              <w:rPr>
                <w:rFonts w:ascii="Verdana" w:hAnsi="Verdana" w:cs="Tisa"/>
                <w:color w:val="000000"/>
                <w:sz w:val="20"/>
                <w:szCs w:val="20"/>
                <w:lang w:val="en-US"/>
              </w:rPr>
              <w:t>Otros</w:t>
            </w:r>
            <w:proofErr w:type="spellEnd"/>
            <w:r w:rsidRPr="008E0628">
              <w:rPr>
                <w:rFonts w:ascii="Verdana" w:hAnsi="Verdana" w:cs="Tisa"/>
                <w:color w:val="000000"/>
                <w:sz w:val="20"/>
                <w:szCs w:val="20"/>
                <w:lang w:val="en-US"/>
              </w:rPr>
              <w:t xml:space="preserve"> </w:t>
            </w:r>
            <w:proofErr w:type="spellStart"/>
            <w:r w:rsidRPr="008E0628">
              <w:rPr>
                <w:rFonts w:ascii="Verdana" w:hAnsi="Verdana" w:cs="Tisa"/>
                <w:color w:val="000000"/>
                <w:sz w:val="20"/>
                <w:szCs w:val="20"/>
                <w:lang w:val="en-US"/>
              </w:rPr>
              <w:t>sindicatos</w:t>
            </w:r>
            <w:proofErr w:type="spellEnd"/>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right"/>
              <w:rPr>
                <w:rFonts w:ascii="Verdana" w:hAnsi="Verdana" w:cs="Tisa"/>
                <w:color w:val="000000"/>
                <w:sz w:val="20"/>
                <w:szCs w:val="20"/>
                <w:lang w:val="en-US"/>
              </w:rPr>
            </w:pPr>
            <w:r w:rsidRPr="008E0628">
              <w:rPr>
                <w:rFonts w:ascii="Verdana" w:hAnsi="Verdana" w:cs="Tisa"/>
                <w:color w:val="000000"/>
                <w:sz w:val="20"/>
                <w:szCs w:val="20"/>
                <w:lang w:val="en-US"/>
              </w:rPr>
              <w:t>7.184</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center"/>
              <w:rPr>
                <w:rFonts w:ascii="Verdana" w:hAnsi="Verdana" w:cs="Tisa"/>
                <w:color w:val="000000"/>
                <w:sz w:val="20"/>
                <w:szCs w:val="20"/>
                <w:lang w:val="en-US"/>
              </w:rPr>
            </w:pPr>
            <w:r w:rsidRPr="008E0628">
              <w:rPr>
                <w:rFonts w:ascii="Verdana" w:hAnsi="Verdana" w:cs="Tisa"/>
                <w:color w:val="000000"/>
                <w:sz w:val="20"/>
                <w:szCs w:val="20"/>
                <w:lang w:val="en-US"/>
              </w:rPr>
              <w:t>27,4</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right"/>
              <w:rPr>
                <w:rFonts w:ascii="Verdana" w:hAnsi="Verdana" w:cs="Tisa"/>
                <w:color w:val="000000"/>
                <w:sz w:val="20"/>
                <w:szCs w:val="20"/>
                <w:lang w:val="en-US"/>
              </w:rPr>
            </w:pPr>
            <w:r w:rsidRPr="008E0628">
              <w:rPr>
                <w:rFonts w:ascii="Verdana" w:hAnsi="Verdana" w:cs="Tisa"/>
                <w:color w:val="000000"/>
                <w:sz w:val="20"/>
                <w:szCs w:val="20"/>
                <w:lang w:val="en-US"/>
              </w:rPr>
              <w:t>2.739.453</w:t>
            </w:r>
          </w:p>
        </w:tc>
        <w:tc>
          <w:tcPr>
            <w:tcW w:w="0" w:type="auto"/>
            <w:tcBorders>
              <w:top w:val="nil"/>
              <w:left w:val="single" w:sz="4" w:space="0" w:color="000000"/>
              <w:bottom w:val="single" w:sz="4" w:space="0" w:color="000000"/>
              <w:right w:val="single" w:sz="4" w:space="0" w:color="000000"/>
            </w:tcBorders>
          </w:tcPr>
          <w:p w:rsidR="008E0628" w:rsidRPr="008E0628" w:rsidRDefault="008E0628" w:rsidP="008E0628">
            <w:pPr>
              <w:autoSpaceDE w:val="0"/>
              <w:snapToGrid w:val="0"/>
              <w:spacing w:after="0" w:line="240" w:lineRule="auto"/>
              <w:jc w:val="center"/>
              <w:rPr>
                <w:rFonts w:ascii="Verdana" w:hAnsi="Verdana" w:cs="Tisa"/>
                <w:color w:val="000000"/>
                <w:sz w:val="20"/>
                <w:szCs w:val="20"/>
                <w:lang w:val="en-US"/>
              </w:rPr>
            </w:pPr>
            <w:r w:rsidRPr="008E0628">
              <w:rPr>
                <w:rFonts w:ascii="Verdana" w:hAnsi="Verdana" w:cs="Tisa"/>
                <w:color w:val="000000"/>
                <w:sz w:val="20"/>
                <w:szCs w:val="20"/>
                <w:lang w:val="en-US"/>
              </w:rPr>
              <w:t>32,1</w:t>
            </w:r>
          </w:p>
        </w:tc>
      </w:tr>
      <w:tr w:rsidR="008E0628" w:rsidRPr="008E0628" w:rsidTr="00111BCB">
        <w:trPr>
          <w:jc w:val="center"/>
        </w:trPr>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rPr>
                <w:rFonts w:ascii="Verdana" w:hAnsi="Verdana" w:cs="Tisa"/>
                <w:color w:val="000000"/>
                <w:sz w:val="20"/>
                <w:szCs w:val="20"/>
                <w:lang w:val="en-US"/>
              </w:rPr>
            </w:pPr>
            <w:r w:rsidRPr="008E0628">
              <w:rPr>
                <w:rFonts w:ascii="Verdana" w:hAnsi="Verdana" w:cs="Tisa"/>
                <w:color w:val="000000"/>
                <w:sz w:val="20"/>
                <w:szCs w:val="20"/>
                <w:lang w:val="en-US"/>
              </w:rPr>
              <w:t xml:space="preserve">No </w:t>
            </w:r>
            <w:proofErr w:type="spellStart"/>
            <w:r w:rsidRPr="008E0628">
              <w:rPr>
                <w:rFonts w:ascii="Verdana" w:hAnsi="Verdana" w:cs="Tisa"/>
                <w:color w:val="000000"/>
                <w:sz w:val="20"/>
                <w:szCs w:val="20"/>
                <w:lang w:val="en-US"/>
              </w:rPr>
              <w:t>afiliados</w:t>
            </w:r>
            <w:proofErr w:type="spellEnd"/>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right"/>
              <w:rPr>
                <w:rFonts w:ascii="Verdana" w:hAnsi="Verdana" w:cs="Tisa"/>
                <w:color w:val="000000"/>
                <w:sz w:val="20"/>
                <w:szCs w:val="20"/>
                <w:lang w:val="en-US"/>
              </w:rPr>
            </w:pPr>
            <w:r w:rsidRPr="008E0628">
              <w:rPr>
                <w:rFonts w:ascii="Verdana" w:hAnsi="Verdana" w:cs="Tisa"/>
                <w:color w:val="000000"/>
                <w:sz w:val="20"/>
                <w:szCs w:val="20"/>
                <w:lang w:val="en-US"/>
              </w:rPr>
              <w:t>1.046</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center"/>
              <w:rPr>
                <w:rFonts w:ascii="Verdana" w:hAnsi="Verdana" w:cs="Tisa"/>
                <w:color w:val="000000"/>
                <w:sz w:val="20"/>
                <w:szCs w:val="20"/>
                <w:lang w:val="en-US"/>
              </w:rPr>
            </w:pPr>
            <w:r w:rsidRPr="008E0628">
              <w:rPr>
                <w:rFonts w:ascii="Verdana" w:hAnsi="Verdana" w:cs="Tisa"/>
                <w:color w:val="000000"/>
                <w:sz w:val="20"/>
                <w:szCs w:val="20"/>
                <w:lang w:val="en-US"/>
              </w:rPr>
              <w:t>4,0</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right"/>
              <w:rPr>
                <w:rFonts w:ascii="Verdana" w:hAnsi="Verdana" w:cs="Tisa"/>
                <w:color w:val="000000"/>
                <w:sz w:val="20"/>
                <w:szCs w:val="20"/>
                <w:lang w:val="en-US"/>
              </w:rPr>
            </w:pPr>
            <w:r w:rsidRPr="008E0628">
              <w:rPr>
                <w:rFonts w:ascii="Verdana" w:hAnsi="Verdana" w:cs="Tisa"/>
                <w:color w:val="000000"/>
                <w:sz w:val="20"/>
                <w:szCs w:val="20"/>
                <w:lang w:val="en-US"/>
              </w:rPr>
              <w:t>186.169</w:t>
            </w:r>
          </w:p>
        </w:tc>
        <w:tc>
          <w:tcPr>
            <w:tcW w:w="0" w:type="auto"/>
            <w:tcBorders>
              <w:top w:val="nil"/>
              <w:left w:val="single" w:sz="4" w:space="0" w:color="000000"/>
              <w:bottom w:val="single" w:sz="4" w:space="0" w:color="000000"/>
              <w:right w:val="single" w:sz="4" w:space="0" w:color="000000"/>
            </w:tcBorders>
          </w:tcPr>
          <w:p w:rsidR="008E0628" w:rsidRPr="008E0628" w:rsidRDefault="008E0628" w:rsidP="008E0628">
            <w:pPr>
              <w:autoSpaceDE w:val="0"/>
              <w:snapToGrid w:val="0"/>
              <w:spacing w:after="0" w:line="240" w:lineRule="auto"/>
              <w:jc w:val="center"/>
              <w:rPr>
                <w:rFonts w:ascii="Verdana" w:hAnsi="Verdana" w:cs="Tisa"/>
                <w:color w:val="000000"/>
                <w:sz w:val="20"/>
                <w:szCs w:val="20"/>
                <w:lang w:val="en-US"/>
              </w:rPr>
            </w:pPr>
            <w:r w:rsidRPr="008E0628">
              <w:rPr>
                <w:rFonts w:ascii="Verdana" w:hAnsi="Verdana" w:cs="Tisa"/>
                <w:color w:val="000000"/>
                <w:sz w:val="20"/>
                <w:szCs w:val="20"/>
                <w:lang w:val="en-US"/>
              </w:rPr>
              <w:t>2,2</w:t>
            </w:r>
          </w:p>
        </w:tc>
      </w:tr>
      <w:tr w:rsidR="008E0628" w:rsidRPr="008E0628" w:rsidTr="00111BCB">
        <w:trPr>
          <w:jc w:val="center"/>
        </w:trPr>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rPr>
                <w:rFonts w:ascii="Verdana" w:hAnsi="Verdana" w:cs="Tisa"/>
                <w:color w:val="000000"/>
                <w:sz w:val="20"/>
                <w:szCs w:val="20"/>
                <w:lang w:val="en-US"/>
              </w:rPr>
            </w:pPr>
            <w:r w:rsidRPr="008E0628">
              <w:rPr>
                <w:rFonts w:ascii="Verdana" w:hAnsi="Verdana" w:cs="Tisa"/>
                <w:color w:val="000000"/>
                <w:sz w:val="20"/>
                <w:szCs w:val="20"/>
                <w:lang w:val="en-US"/>
              </w:rPr>
              <w:t>TOTAL</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right"/>
              <w:rPr>
                <w:rFonts w:ascii="Verdana" w:hAnsi="Verdana" w:cs="Tisa"/>
                <w:color w:val="000000"/>
                <w:sz w:val="20"/>
                <w:szCs w:val="20"/>
                <w:lang w:val="en-US"/>
              </w:rPr>
            </w:pPr>
            <w:r w:rsidRPr="008E0628">
              <w:rPr>
                <w:rFonts w:ascii="Verdana" w:hAnsi="Verdana" w:cs="Tisa"/>
                <w:color w:val="000000"/>
                <w:sz w:val="20"/>
                <w:szCs w:val="20"/>
                <w:lang w:val="en-US"/>
              </w:rPr>
              <w:t>26.184</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center"/>
              <w:rPr>
                <w:rFonts w:ascii="Verdana" w:hAnsi="Verdana" w:cs="Tisa"/>
                <w:color w:val="000000"/>
                <w:sz w:val="20"/>
                <w:szCs w:val="20"/>
                <w:lang w:val="en-US"/>
              </w:rPr>
            </w:pPr>
            <w:r w:rsidRPr="008E0628">
              <w:rPr>
                <w:rFonts w:ascii="Verdana" w:hAnsi="Verdana" w:cs="Tisa"/>
                <w:color w:val="000000"/>
                <w:sz w:val="20"/>
                <w:szCs w:val="20"/>
                <w:lang w:val="en-US"/>
              </w:rPr>
              <w:t>100,</w:t>
            </w:r>
          </w:p>
        </w:tc>
        <w:tc>
          <w:tcPr>
            <w:tcW w:w="0" w:type="auto"/>
            <w:tcBorders>
              <w:top w:val="nil"/>
              <w:left w:val="single" w:sz="4" w:space="0" w:color="000000"/>
              <w:bottom w:val="single" w:sz="4" w:space="0" w:color="000000"/>
              <w:right w:val="nil"/>
            </w:tcBorders>
          </w:tcPr>
          <w:p w:rsidR="008E0628" w:rsidRPr="008E0628" w:rsidRDefault="008E0628" w:rsidP="008E0628">
            <w:pPr>
              <w:autoSpaceDE w:val="0"/>
              <w:snapToGrid w:val="0"/>
              <w:spacing w:after="0" w:line="240" w:lineRule="auto"/>
              <w:jc w:val="right"/>
              <w:rPr>
                <w:rFonts w:ascii="Verdana" w:hAnsi="Verdana" w:cs="Tisa"/>
                <w:color w:val="000000"/>
                <w:sz w:val="20"/>
                <w:szCs w:val="20"/>
                <w:lang w:val="en-US"/>
              </w:rPr>
            </w:pPr>
            <w:r w:rsidRPr="008E0628">
              <w:rPr>
                <w:rFonts w:ascii="Verdana" w:hAnsi="Verdana" w:cs="Tisa"/>
                <w:color w:val="000000"/>
                <w:sz w:val="20"/>
                <w:szCs w:val="20"/>
                <w:lang w:val="en-US"/>
              </w:rPr>
              <w:t>8.525.247</w:t>
            </w:r>
          </w:p>
        </w:tc>
        <w:tc>
          <w:tcPr>
            <w:tcW w:w="0" w:type="auto"/>
            <w:tcBorders>
              <w:top w:val="nil"/>
              <w:left w:val="single" w:sz="4" w:space="0" w:color="000000"/>
              <w:bottom w:val="single" w:sz="4" w:space="0" w:color="000000"/>
              <w:right w:val="single" w:sz="4" w:space="0" w:color="000000"/>
            </w:tcBorders>
          </w:tcPr>
          <w:p w:rsidR="008E0628" w:rsidRPr="008E0628" w:rsidRDefault="008E0628" w:rsidP="008E0628">
            <w:pPr>
              <w:autoSpaceDE w:val="0"/>
              <w:snapToGrid w:val="0"/>
              <w:spacing w:after="0" w:line="240" w:lineRule="auto"/>
              <w:jc w:val="center"/>
              <w:rPr>
                <w:rFonts w:ascii="Verdana" w:hAnsi="Verdana" w:cs="Tisa"/>
                <w:color w:val="000000"/>
                <w:sz w:val="20"/>
                <w:szCs w:val="20"/>
                <w:lang w:val="en-US"/>
              </w:rPr>
            </w:pPr>
            <w:r w:rsidRPr="008E0628">
              <w:rPr>
                <w:rFonts w:ascii="Verdana" w:hAnsi="Verdana" w:cs="Tisa"/>
                <w:color w:val="000000"/>
                <w:sz w:val="20"/>
                <w:szCs w:val="20"/>
                <w:lang w:val="en-US"/>
              </w:rPr>
              <w:t>100,</w:t>
            </w:r>
          </w:p>
        </w:tc>
      </w:tr>
    </w:tbl>
    <w:p w:rsidR="008E0628" w:rsidRPr="008E0628" w:rsidRDefault="008E0628" w:rsidP="008E0628">
      <w:pPr>
        <w:autoSpaceDE w:val="0"/>
        <w:spacing w:after="0" w:line="240" w:lineRule="auto"/>
        <w:jc w:val="center"/>
        <w:rPr>
          <w:rFonts w:ascii="Verdana" w:hAnsi="Verdana" w:cs="Tisa"/>
          <w:i/>
          <w:color w:val="000000"/>
          <w:sz w:val="20"/>
          <w:szCs w:val="20"/>
        </w:rPr>
      </w:pPr>
      <w:r w:rsidRPr="008E0628">
        <w:rPr>
          <w:rFonts w:ascii="Verdana" w:hAnsi="Verdana" w:cs="Tisa"/>
          <w:color w:val="000000"/>
          <w:sz w:val="20"/>
          <w:szCs w:val="20"/>
        </w:rPr>
        <w:t xml:space="preserve">Fuente: Ministerio de Empleo, </w:t>
      </w:r>
      <w:r w:rsidRPr="008E0628">
        <w:rPr>
          <w:rFonts w:ascii="Verdana" w:hAnsi="Verdana" w:cs="Tisa"/>
          <w:i/>
          <w:color w:val="000000"/>
          <w:sz w:val="20"/>
          <w:szCs w:val="20"/>
        </w:rPr>
        <w:t>Estadística de Convenios Colectivos de Trabajo, Avance 2012</w:t>
      </w:r>
    </w:p>
    <w:p w:rsidR="008E0628" w:rsidRPr="008E0628" w:rsidRDefault="008E0628" w:rsidP="008E0628">
      <w:pPr>
        <w:autoSpaceDE w:val="0"/>
        <w:spacing w:after="0" w:line="240" w:lineRule="auto"/>
        <w:rPr>
          <w:rFonts w:ascii="Verdana" w:hAnsi="Verdana" w:cs="Tisa"/>
        </w:rPr>
      </w:pPr>
    </w:p>
    <w:p w:rsidR="008E0628" w:rsidRPr="008E0628" w:rsidRDefault="008E0628" w:rsidP="008E0628">
      <w:pPr>
        <w:autoSpaceDE w:val="0"/>
        <w:spacing w:after="0" w:line="240" w:lineRule="auto"/>
        <w:jc w:val="both"/>
        <w:rPr>
          <w:rFonts w:ascii="Verdana" w:hAnsi="Verdana" w:cs="Tisa"/>
        </w:rPr>
      </w:pPr>
      <w:r w:rsidRPr="008E0628">
        <w:rPr>
          <w:rFonts w:ascii="Verdana" w:hAnsi="Verdana" w:cs="Tisa"/>
        </w:rPr>
        <w:t xml:space="preserve">Este indicador de participación sindical en la negociación colectiva mantiene con los de afiliación y representatividad relaciones muy complejas que oscilan entre la contradicción aparente y la complementariedad real, pues si bien es cierto que la eficacia universal de lo pactado en convenio por los sindicatos permite visualizar su capacidad de influencia y legitimar su intervención, plantea también problemas al activar la lógica de delegación y desincentivar la participación directa (efecto </w:t>
      </w:r>
      <w:r w:rsidRPr="008E0628">
        <w:rPr>
          <w:rFonts w:ascii="Verdana" w:hAnsi="Verdana" w:cs="Tisa-Ita"/>
          <w:i/>
        </w:rPr>
        <w:t xml:space="preserve">free </w:t>
      </w:r>
      <w:proofErr w:type="spellStart"/>
      <w:r w:rsidRPr="008E0628">
        <w:rPr>
          <w:rFonts w:ascii="Verdana" w:hAnsi="Verdana" w:cs="Tisa-Ita"/>
          <w:i/>
        </w:rPr>
        <w:t>rider</w:t>
      </w:r>
      <w:proofErr w:type="spellEnd"/>
      <w:r w:rsidRPr="008E0628">
        <w:rPr>
          <w:rFonts w:ascii="Verdana" w:hAnsi="Verdana" w:cs="Tisa"/>
        </w:rPr>
        <w:t>).</w:t>
      </w:r>
    </w:p>
    <w:p w:rsidR="008E0628" w:rsidRDefault="008E0628" w:rsidP="008E0628">
      <w:pPr>
        <w:autoSpaceDE w:val="0"/>
        <w:spacing w:after="0" w:line="240" w:lineRule="auto"/>
        <w:jc w:val="both"/>
        <w:rPr>
          <w:rFonts w:ascii="Verdana" w:hAnsi="Verdana" w:cs="Tisa"/>
        </w:rPr>
      </w:pPr>
    </w:p>
    <w:p w:rsidR="008E0628" w:rsidRPr="008E0628" w:rsidRDefault="008E0628" w:rsidP="008E0628">
      <w:pPr>
        <w:autoSpaceDE w:val="0"/>
        <w:spacing w:after="0" w:line="240" w:lineRule="auto"/>
        <w:jc w:val="both"/>
        <w:rPr>
          <w:rFonts w:ascii="Verdana" w:hAnsi="Verdana" w:cs="Tisa"/>
        </w:rPr>
      </w:pPr>
      <w:r w:rsidRPr="008E0628">
        <w:rPr>
          <w:rFonts w:ascii="Verdana" w:hAnsi="Verdana" w:cs="Tisa"/>
        </w:rPr>
        <w:t>Se trata de un tópico de la teoría clásica de la acción colectiva (</w:t>
      </w:r>
      <w:proofErr w:type="spellStart"/>
      <w:r w:rsidRPr="008E0628">
        <w:rPr>
          <w:rFonts w:ascii="Verdana" w:hAnsi="Verdana" w:cs="Tisa"/>
        </w:rPr>
        <w:t>Olson</w:t>
      </w:r>
      <w:proofErr w:type="spellEnd"/>
      <w:r w:rsidRPr="008E0628">
        <w:rPr>
          <w:rFonts w:ascii="Verdana" w:hAnsi="Verdana" w:cs="Tisa"/>
        </w:rPr>
        <w:t>, 1992), para la que la decisión de afiliarse a un sindicato se explica en términos de maximización de la utilidad y relación coste/beneficios, lo que plantea la paradoja del “gorrón” (</w:t>
      </w:r>
      <w:r w:rsidRPr="008E0628">
        <w:rPr>
          <w:rFonts w:ascii="Verdana" w:hAnsi="Verdana" w:cs="Tisa"/>
          <w:i/>
        </w:rPr>
        <w:t xml:space="preserve">free </w:t>
      </w:r>
      <w:proofErr w:type="spellStart"/>
      <w:r w:rsidRPr="008E0628">
        <w:rPr>
          <w:rFonts w:ascii="Verdana" w:hAnsi="Verdana" w:cs="Tisa"/>
          <w:i/>
        </w:rPr>
        <w:t>rider</w:t>
      </w:r>
      <w:proofErr w:type="spellEnd"/>
      <w:r w:rsidRPr="008E0628">
        <w:rPr>
          <w:rFonts w:ascii="Verdana" w:hAnsi="Verdana" w:cs="Tisa"/>
        </w:rPr>
        <w:t>), según la cual en un colectivo que comparte intereses siempre existe una fracción considerable de individuos para quienes el esfuerzo (</w:t>
      </w:r>
      <w:r w:rsidRPr="008E0628">
        <w:rPr>
          <w:rFonts w:ascii="Verdana" w:hAnsi="Verdana" w:cs="Tisa-Ita"/>
        </w:rPr>
        <w:t>coste</w:t>
      </w:r>
      <w:r w:rsidRPr="008E0628">
        <w:rPr>
          <w:rFonts w:ascii="Verdana" w:hAnsi="Verdana" w:cs="Tisa"/>
        </w:rPr>
        <w:t>) de la acción a realizar para proteger dichos intereses (la acción sindical, en este caso) es mayor que la esperanza de obtener resultados significativos de dicha acción (</w:t>
      </w:r>
      <w:r w:rsidRPr="008E0628">
        <w:rPr>
          <w:rFonts w:ascii="Verdana" w:hAnsi="Verdana" w:cs="Tisa-Ita"/>
        </w:rPr>
        <w:t>beneficios</w:t>
      </w:r>
      <w:r w:rsidRPr="008E0628">
        <w:rPr>
          <w:rFonts w:ascii="Verdana" w:hAnsi="Verdana" w:cs="Tisa"/>
        </w:rPr>
        <w:t>), puesto que éstos son públicos (los reciben también quienes no se movilizan en defensa de los intereses comunes), mientras que aquellos son siempre individuales.</w:t>
      </w:r>
    </w:p>
    <w:p w:rsidR="008E0628" w:rsidRDefault="008E0628" w:rsidP="008E0628">
      <w:pPr>
        <w:autoSpaceDE w:val="0"/>
        <w:spacing w:after="0" w:line="240" w:lineRule="auto"/>
        <w:jc w:val="both"/>
        <w:rPr>
          <w:rFonts w:ascii="Verdana" w:hAnsi="Verdana" w:cs="Tisa"/>
        </w:rPr>
      </w:pPr>
    </w:p>
    <w:p w:rsidR="008E0628" w:rsidRPr="008E0628" w:rsidRDefault="008E0628" w:rsidP="008E0628">
      <w:pPr>
        <w:autoSpaceDE w:val="0"/>
        <w:spacing w:after="0" w:line="240" w:lineRule="auto"/>
        <w:jc w:val="both"/>
        <w:rPr>
          <w:rFonts w:ascii="Verdana" w:hAnsi="Verdana" w:cs="Tisa"/>
        </w:rPr>
      </w:pPr>
      <w:r w:rsidRPr="008E0628">
        <w:rPr>
          <w:rFonts w:ascii="Verdana" w:hAnsi="Verdana" w:cs="Tisa"/>
        </w:rPr>
        <w:t>En el modelo español, efectivamente, los beneficios de la concertación social, la negociación colectiva e, incluso, la intervención puntual de los representantes sindicales en la empresa, son de aplicación universal, mientras que los costes son asumidos en exclusiva por las organizaciones sindicales, sus afiliados y representantes, lo que al menos en una primera fase, y aún hoy en demasiados casos, opera como barrera de entrada a la afiliación, dada la beligerancia antisindical de muchas empresas y organizaciones, especialmente disuasoria para los status contractuales más frágiles y precarios.</w:t>
      </w:r>
    </w:p>
    <w:p w:rsidR="008E0628" w:rsidRDefault="008E0628" w:rsidP="008E0628">
      <w:pPr>
        <w:autoSpaceDE w:val="0"/>
        <w:spacing w:after="0" w:line="240" w:lineRule="auto"/>
        <w:jc w:val="both"/>
        <w:rPr>
          <w:rFonts w:ascii="Verdana" w:hAnsi="Verdana" w:cs="Tisa"/>
        </w:rPr>
      </w:pPr>
    </w:p>
    <w:p w:rsidR="008E0628" w:rsidRPr="008E0628" w:rsidRDefault="008E0628" w:rsidP="008E0628">
      <w:pPr>
        <w:autoSpaceDE w:val="0"/>
        <w:spacing w:after="0" w:line="240" w:lineRule="auto"/>
        <w:jc w:val="both"/>
        <w:rPr>
          <w:rFonts w:ascii="Verdana" w:hAnsi="Verdana" w:cs="Tisa"/>
        </w:rPr>
      </w:pPr>
      <w:r w:rsidRPr="008E0628">
        <w:rPr>
          <w:rFonts w:ascii="Verdana" w:hAnsi="Verdana" w:cs="Tisa"/>
        </w:rPr>
        <w:t>Aun aceptando las posibles disfunciones del modelo, desde el ámbito sindical se plantea la necesidad de sindicalizar la representación y reforzar la presencia e intervención directa del sindicato en la empresa, asumiendo mayores niveles de visibilidad y competencia (</w:t>
      </w:r>
      <w:r w:rsidRPr="008E0628">
        <w:rPr>
          <w:rFonts w:ascii="Verdana" w:hAnsi="Verdana" w:cs="Tisa-Ita"/>
        </w:rPr>
        <w:t>sindicalismo de proximidad</w:t>
      </w:r>
      <w:r w:rsidRPr="008E0628">
        <w:rPr>
          <w:rFonts w:ascii="Verdana" w:hAnsi="Verdana" w:cs="Tisa"/>
        </w:rPr>
        <w:t xml:space="preserve">), por entender que se trata de un sistema consolidado en su estructura y resultados, pues si bien puede desincentivar genéricamente la afiliación directa, también es cierto que no sólo amplía el área de influencia sindical y su legitimación democrática sino que incluso puede contribuir a la expansión </w:t>
      </w:r>
      <w:proofErr w:type="spellStart"/>
      <w:r w:rsidRPr="008E0628">
        <w:rPr>
          <w:rFonts w:ascii="Verdana" w:hAnsi="Verdana" w:cs="Tisa"/>
        </w:rPr>
        <w:lastRenderedPageBreak/>
        <w:t>afiliativa</w:t>
      </w:r>
      <w:proofErr w:type="spellEnd"/>
      <w:r w:rsidRPr="008E0628">
        <w:rPr>
          <w:rFonts w:ascii="Verdana" w:hAnsi="Verdana" w:cs="Tisa"/>
        </w:rPr>
        <w:t xml:space="preserve"> en empresas y sectores concretos de notable implantación representativa.</w:t>
      </w:r>
    </w:p>
    <w:p w:rsidR="008E0628" w:rsidRDefault="008E0628" w:rsidP="008E0628">
      <w:pPr>
        <w:autoSpaceDE w:val="0"/>
        <w:spacing w:after="0" w:line="240" w:lineRule="auto"/>
        <w:jc w:val="both"/>
        <w:rPr>
          <w:rFonts w:ascii="Verdana" w:hAnsi="Verdana" w:cs="Tisa"/>
        </w:rPr>
      </w:pPr>
    </w:p>
    <w:p w:rsidR="008E0628" w:rsidRPr="008E0628" w:rsidRDefault="008E0628" w:rsidP="008E0628">
      <w:pPr>
        <w:autoSpaceDE w:val="0"/>
        <w:spacing w:after="0" w:line="240" w:lineRule="auto"/>
        <w:jc w:val="both"/>
        <w:rPr>
          <w:rFonts w:ascii="Verdana" w:hAnsi="Verdana" w:cs="Tisa"/>
        </w:rPr>
      </w:pPr>
      <w:r w:rsidRPr="008E0628">
        <w:rPr>
          <w:rFonts w:ascii="Verdana" w:hAnsi="Verdana" w:cs="Tisa"/>
        </w:rPr>
        <w:t>Como ya se ha indicado anteriormente, según los datos de la ECVT-2010 existe una correlación positiva entre ambas variables, de manera que la tasa de afiliación (media del 18,9%) asciende hasta el 30,0% en las empresas que cuentan con instancias representativas electas y desciende al 9,6% en las que no disponen de ellas, siendo esta variable la que mayor influencia ejerce entre los determinantes de la afiliación (</w:t>
      </w:r>
      <w:proofErr w:type="spellStart"/>
      <w:r w:rsidRPr="008E0628">
        <w:rPr>
          <w:rFonts w:ascii="Verdana" w:hAnsi="Verdana" w:cs="Tisa"/>
        </w:rPr>
        <w:t>Köhler</w:t>
      </w:r>
      <w:proofErr w:type="spellEnd"/>
      <w:r w:rsidRPr="008E0628">
        <w:rPr>
          <w:rFonts w:ascii="Verdana" w:hAnsi="Verdana" w:cs="Tisa"/>
        </w:rPr>
        <w:t xml:space="preserve"> y Calleja, 2011).</w:t>
      </w:r>
    </w:p>
    <w:p w:rsidR="008E0628" w:rsidRDefault="008E0628" w:rsidP="008E0628">
      <w:pPr>
        <w:autoSpaceDE w:val="0"/>
        <w:spacing w:after="0" w:line="240" w:lineRule="auto"/>
        <w:jc w:val="both"/>
        <w:rPr>
          <w:rFonts w:ascii="Verdana" w:hAnsi="Verdana" w:cs="Tisa"/>
        </w:rPr>
      </w:pPr>
    </w:p>
    <w:p w:rsidR="008E0628" w:rsidRPr="008E0628" w:rsidRDefault="008E0628" w:rsidP="008E0628">
      <w:pPr>
        <w:autoSpaceDE w:val="0"/>
        <w:spacing w:after="0" w:line="240" w:lineRule="auto"/>
        <w:jc w:val="both"/>
        <w:rPr>
          <w:rFonts w:ascii="Verdana" w:hAnsi="Verdana" w:cs="Tisa"/>
        </w:rPr>
      </w:pPr>
      <w:r w:rsidRPr="008E0628">
        <w:rPr>
          <w:rFonts w:ascii="Verdana" w:hAnsi="Verdana" w:cs="Tisa"/>
        </w:rPr>
        <w:t>La correlación opera, asimismo, en una dirección complementaria a la anterior, de manera que la cobertura de la representación (media del 47,4%) aumenta entre los afiliados y desciende entre quienes no lo están (75,4 y 19,0%, respectivamente).</w:t>
      </w:r>
    </w:p>
    <w:p w:rsidR="008E0628" w:rsidRDefault="008E0628" w:rsidP="008E0628">
      <w:pPr>
        <w:autoSpaceDE w:val="0"/>
        <w:spacing w:after="0" w:line="240" w:lineRule="auto"/>
        <w:jc w:val="both"/>
        <w:rPr>
          <w:rFonts w:ascii="Verdana" w:hAnsi="Verdana" w:cs="Tisa"/>
        </w:rPr>
      </w:pPr>
    </w:p>
    <w:p w:rsidR="008E0628" w:rsidRPr="008E0628" w:rsidRDefault="008E0628" w:rsidP="008E0628">
      <w:pPr>
        <w:autoSpaceDE w:val="0"/>
        <w:spacing w:after="0" w:line="240" w:lineRule="auto"/>
        <w:jc w:val="both"/>
        <w:rPr>
          <w:rFonts w:ascii="Verdana" w:hAnsi="Verdana" w:cs="Tisa"/>
        </w:rPr>
      </w:pPr>
      <w:r w:rsidRPr="008E0628">
        <w:rPr>
          <w:rFonts w:ascii="Verdana" w:hAnsi="Verdana" w:cs="Tisa"/>
        </w:rPr>
        <w:t>Así pues, los datos de representatividad electoral y cobertura negociadora confirman suficientemente la legitimidad del sindicalismo español, poniendo de manifiesto el sesgo ideológico y la propia base empírica de quienes lo impugnan. Cabe destacar, a este respecto, la línea argumental de un sector de analistas económicos, con amplia cobertura académica, institucional y mediática, que parecen apuntar a las bases mismas del modelo de representación sindical e, incluso, del propio sistema de relaciones laborales hasta ahora vigente, a cuya legislación protectora, estructura de negociación colectiva y de intervención sindical imputan gran parte de responsabilidad por la segmentación del mercado de trabajo y el crecimiento mismo del paro.</w:t>
      </w:r>
    </w:p>
    <w:p w:rsidR="008E0628" w:rsidRDefault="008E0628" w:rsidP="008E0628">
      <w:pPr>
        <w:autoSpaceDE w:val="0"/>
        <w:spacing w:after="0" w:line="240" w:lineRule="auto"/>
        <w:jc w:val="both"/>
        <w:rPr>
          <w:rFonts w:ascii="Verdana" w:hAnsi="Verdana" w:cs="Tisa"/>
        </w:rPr>
      </w:pPr>
    </w:p>
    <w:p w:rsidR="008E0628" w:rsidRPr="008E0628" w:rsidRDefault="008E0628" w:rsidP="008E0628">
      <w:pPr>
        <w:autoSpaceDE w:val="0"/>
        <w:spacing w:after="0" w:line="240" w:lineRule="auto"/>
        <w:jc w:val="both"/>
        <w:rPr>
          <w:rFonts w:ascii="Verdana" w:hAnsi="Verdana" w:cs="Tisa"/>
        </w:rPr>
      </w:pPr>
      <w:r w:rsidRPr="008E0628">
        <w:rPr>
          <w:rFonts w:ascii="Verdana" w:hAnsi="Verdana" w:cs="Tisa"/>
        </w:rPr>
        <w:t xml:space="preserve">Estos analistas parten de la </w:t>
      </w:r>
      <w:r w:rsidRPr="008E0628">
        <w:rPr>
          <w:rFonts w:ascii="Verdana" w:hAnsi="Verdana" w:cs="Tisa-Ita"/>
        </w:rPr>
        <w:t xml:space="preserve">modelización </w:t>
      </w:r>
      <w:r w:rsidRPr="008E0628">
        <w:rPr>
          <w:rFonts w:ascii="Verdana" w:hAnsi="Verdana" w:cs="Tisa"/>
        </w:rPr>
        <w:t xml:space="preserve">del comportamiento de los sindicatos como grupo de presión y defensa de los intereses de sus afiliados, establecida inicialmente por los padres de la teoría </w:t>
      </w:r>
      <w:proofErr w:type="spellStart"/>
      <w:r w:rsidRPr="008E0628">
        <w:rPr>
          <w:rFonts w:ascii="Verdana" w:hAnsi="Verdana" w:cs="Tisa-Ita"/>
          <w:i/>
        </w:rPr>
        <w:t>insider</w:t>
      </w:r>
      <w:proofErr w:type="spellEnd"/>
      <w:r w:rsidRPr="008E0628">
        <w:rPr>
          <w:rFonts w:ascii="Verdana" w:hAnsi="Verdana" w:cs="Tisa-Ita"/>
          <w:i/>
        </w:rPr>
        <w:t>–outsider</w:t>
      </w:r>
      <w:r w:rsidRPr="008E0628">
        <w:rPr>
          <w:rFonts w:ascii="Verdana" w:hAnsi="Verdana" w:cs="Tisa-Ita"/>
        </w:rPr>
        <w:t xml:space="preserve"> </w:t>
      </w:r>
      <w:r w:rsidRPr="008E0628">
        <w:rPr>
          <w:rFonts w:ascii="Verdana" w:hAnsi="Verdana" w:cs="Tisa"/>
        </w:rPr>
        <w:t>(</w:t>
      </w:r>
      <w:proofErr w:type="spellStart"/>
      <w:r w:rsidRPr="008E0628">
        <w:rPr>
          <w:rFonts w:ascii="Verdana" w:hAnsi="Verdana" w:cs="Tisa"/>
        </w:rPr>
        <w:t>Lindbeck</w:t>
      </w:r>
      <w:proofErr w:type="spellEnd"/>
      <w:r w:rsidRPr="008E0628">
        <w:rPr>
          <w:rFonts w:ascii="Verdana" w:hAnsi="Verdana" w:cs="Tisa"/>
        </w:rPr>
        <w:t xml:space="preserve"> y </w:t>
      </w:r>
      <w:proofErr w:type="spellStart"/>
      <w:r w:rsidRPr="008E0628">
        <w:rPr>
          <w:rFonts w:ascii="Verdana" w:hAnsi="Verdana" w:cs="Tisa"/>
        </w:rPr>
        <w:t>Snower</w:t>
      </w:r>
      <w:proofErr w:type="spellEnd"/>
      <w:r w:rsidRPr="008E0628">
        <w:rPr>
          <w:rFonts w:ascii="Verdana" w:hAnsi="Verdana" w:cs="Tisa"/>
        </w:rPr>
        <w:t>, 1988) para el caso norteamericano, caracterizado por un contexto económico, institucional y sindical muy diferente al europeo.</w:t>
      </w:r>
    </w:p>
    <w:p w:rsidR="008E0628" w:rsidRDefault="008E0628" w:rsidP="008E0628">
      <w:pPr>
        <w:autoSpaceDE w:val="0"/>
        <w:spacing w:after="0" w:line="240" w:lineRule="auto"/>
        <w:jc w:val="both"/>
        <w:rPr>
          <w:rFonts w:ascii="Verdana" w:hAnsi="Verdana" w:cs="Tisa"/>
        </w:rPr>
      </w:pPr>
    </w:p>
    <w:p w:rsidR="008E0628" w:rsidRPr="008E0628" w:rsidRDefault="008E0628" w:rsidP="008E0628">
      <w:pPr>
        <w:autoSpaceDE w:val="0"/>
        <w:spacing w:after="0" w:line="240" w:lineRule="auto"/>
        <w:jc w:val="both"/>
        <w:rPr>
          <w:rFonts w:ascii="Verdana" w:hAnsi="Verdana" w:cs="Tisa"/>
        </w:rPr>
      </w:pPr>
      <w:r w:rsidRPr="008E0628">
        <w:rPr>
          <w:rFonts w:ascii="Verdana" w:hAnsi="Verdana" w:cs="Tisa"/>
        </w:rPr>
        <w:t>La secuencia discursiva prosigue con la impugnación de la representatividad de los sindicatos españoles que unas veces definen como “otorgada desde arriba” (</w:t>
      </w:r>
      <w:proofErr w:type="spellStart"/>
      <w:r w:rsidRPr="008E0628">
        <w:rPr>
          <w:rFonts w:ascii="Verdana" w:hAnsi="Verdana" w:cs="Tisa"/>
        </w:rPr>
        <w:t>Bentolila</w:t>
      </w:r>
      <w:proofErr w:type="spellEnd"/>
      <w:r w:rsidRPr="008E0628">
        <w:rPr>
          <w:rFonts w:ascii="Verdana" w:hAnsi="Verdana" w:cs="Tisa"/>
        </w:rPr>
        <w:t>, 2010) y otras “obtenida con muy poquita cosa” (</w:t>
      </w:r>
      <w:proofErr w:type="spellStart"/>
      <w:r w:rsidRPr="008E0628">
        <w:rPr>
          <w:rFonts w:ascii="Verdana" w:hAnsi="Verdana" w:cs="Tisa"/>
        </w:rPr>
        <w:t>Felgueroso</w:t>
      </w:r>
      <w:proofErr w:type="spellEnd"/>
      <w:r w:rsidRPr="008E0628">
        <w:rPr>
          <w:rFonts w:ascii="Verdana" w:hAnsi="Verdana" w:cs="Tisa"/>
        </w:rPr>
        <w:t xml:space="preserve">, 2010), la imputación de su exclusiva y excluyente defensa de los </w:t>
      </w:r>
      <w:proofErr w:type="spellStart"/>
      <w:r w:rsidRPr="008E0628">
        <w:rPr>
          <w:rFonts w:ascii="Verdana" w:hAnsi="Verdana" w:cs="Tisa-Ita"/>
          <w:i/>
        </w:rPr>
        <w:t>insiders</w:t>
      </w:r>
      <w:proofErr w:type="spellEnd"/>
      <w:r w:rsidRPr="008E0628">
        <w:rPr>
          <w:rFonts w:ascii="Verdana" w:hAnsi="Verdana" w:cs="Tisa-Ita"/>
        </w:rPr>
        <w:t xml:space="preserve"> </w:t>
      </w:r>
      <w:r w:rsidRPr="008E0628">
        <w:rPr>
          <w:rFonts w:ascii="Verdana" w:hAnsi="Verdana" w:cs="Tisa"/>
        </w:rPr>
        <w:t>(trabajadores centrales, con contrato permanente, en grandes empresas, etc.) (Dolado et al., 2010), mediante convenios “…que han destruido muchos empleos”, por lo que acaban proponiendo una reforma aún más desreguladora de las relaciones laborales españolas, incluyendo su cobertura legal y modelo de representación sindical.</w:t>
      </w:r>
    </w:p>
    <w:p w:rsidR="008E0628" w:rsidRPr="008E0628" w:rsidRDefault="008E0628" w:rsidP="008E0628">
      <w:pPr>
        <w:spacing w:after="0" w:line="240" w:lineRule="auto"/>
        <w:rPr>
          <w:rFonts w:ascii="Verdana" w:hAnsi="Verdana" w:cs="Calibri"/>
          <w:b/>
        </w:rPr>
      </w:pPr>
    </w:p>
    <w:p w:rsidR="008E0628" w:rsidRDefault="008E0628" w:rsidP="008E0628">
      <w:pPr>
        <w:spacing w:after="0" w:line="240" w:lineRule="auto"/>
        <w:jc w:val="both"/>
        <w:rPr>
          <w:rFonts w:ascii="Verdana" w:hAnsi="Verdana"/>
        </w:rPr>
      </w:pPr>
      <w:r w:rsidRPr="008E0628">
        <w:rPr>
          <w:rFonts w:ascii="Verdana" w:hAnsi="Verdana"/>
        </w:rPr>
        <w:t>Como principales conclusion</w:t>
      </w:r>
      <w:r>
        <w:rPr>
          <w:rFonts w:ascii="Verdana" w:hAnsi="Verdana"/>
        </w:rPr>
        <w:t>es a este apartado sobre</w:t>
      </w:r>
      <w:r w:rsidRPr="008E0628">
        <w:rPr>
          <w:rFonts w:ascii="Verdana" w:hAnsi="Verdana"/>
        </w:rPr>
        <w:t xml:space="preserve"> la representación sindical en España se pueden destacar las siguientes:</w:t>
      </w:r>
    </w:p>
    <w:p w:rsidR="008E0628" w:rsidRPr="008E0628" w:rsidRDefault="008E0628" w:rsidP="008E0628">
      <w:pPr>
        <w:spacing w:after="0" w:line="240" w:lineRule="auto"/>
        <w:jc w:val="both"/>
        <w:rPr>
          <w:rFonts w:ascii="Verdana" w:hAnsi="Verdana"/>
        </w:rPr>
      </w:pPr>
    </w:p>
    <w:p w:rsidR="008E0628" w:rsidRPr="008E0628" w:rsidRDefault="008E0628" w:rsidP="008E0628">
      <w:pPr>
        <w:pStyle w:val="Prrafodelista"/>
        <w:numPr>
          <w:ilvl w:val="0"/>
          <w:numId w:val="11"/>
        </w:numPr>
        <w:spacing w:after="0" w:line="240" w:lineRule="auto"/>
        <w:ind w:left="357" w:hanging="357"/>
        <w:jc w:val="both"/>
        <w:rPr>
          <w:rFonts w:ascii="Verdana" w:hAnsi="Verdana"/>
        </w:rPr>
      </w:pPr>
      <w:r w:rsidRPr="008E0628">
        <w:rPr>
          <w:rFonts w:ascii="Verdana" w:hAnsi="Verdana"/>
        </w:rPr>
        <w:t xml:space="preserve">Aumenta el número de delegados, aunque evoluciona al ritmo del ciclo económico-ocupacional. En 2012, 303.622 delegados representan al conjunto de los asalariados españoles tanto del sector privado como </w:t>
      </w:r>
      <w:r w:rsidRPr="008E0628">
        <w:rPr>
          <w:rFonts w:ascii="Verdana" w:hAnsi="Verdana"/>
        </w:rPr>
        <w:lastRenderedPageBreak/>
        <w:t>funcionarios; en 2007 se alcanzó la cifra máxima de 312.017 representantes electos.</w:t>
      </w:r>
    </w:p>
    <w:p w:rsidR="008E0628" w:rsidRPr="008E0628" w:rsidRDefault="008E0628" w:rsidP="008E0628">
      <w:pPr>
        <w:pStyle w:val="Prrafodelista"/>
        <w:numPr>
          <w:ilvl w:val="0"/>
          <w:numId w:val="11"/>
        </w:numPr>
        <w:spacing w:after="0" w:line="240" w:lineRule="auto"/>
        <w:ind w:left="357" w:hanging="357"/>
        <w:jc w:val="both"/>
        <w:rPr>
          <w:rFonts w:ascii="Verdana" w:hAnsi="Verdana"/>
        </w:rPr>
      </w:pPr>
      <w:r w:rsidRPr="008E0628">
        <w:rPr>
          <w:rFonts w:ascii="Verdana" w:hAnsi="Verdana"/>
        </w:rPr>
        <w:t>Sindicalización de la representación sindical: caída de las candidaturas independientes del 30% de los delegados en 1978 al 2% en 2012.</w:t>
      </w:r>
    </w:p>
    <w:p w:rsidR="008E0628" w:rsidRPr="008E0628" w:rsidRDefault="008E0628" w:rsidP="008E0628">
      <w:pPr>
        <w:pStyle w:val="Prrafodelista"/>
        <w:numPr>
          <w:ilvl w:val="0"/>
          <w:numId w:val="11"/>
        </w:numPr>
        <w:spacing w:after="0" w:line="240" w:lineRule="auto"/>
        <w:ind w:left="357" w:hanging="357"/>
        <w:jc w:val="both"/>
        <w:rPr>
          <w:rFonts w:ascii="Verdana" w:hAnsi="Verdana"/>
        </w:rPr>
      </w:pPr>
      <w:r w:rsidRPr="008E0628">
        <w:rPr>
          <w:rFonts w:ascii="Verdana" w:hAnsi="Verdana"/>
        </w:rPr>
        <w:t>Concentración en UGT y CCOO (el 72,9% de los delegados entre los dos) y consolidación de ambas centrales, en particular de CCOO (37,5% de los delegados).</w:t>
      </w:r>
    </w:p>
    <w:p w:rsidR="008E0628" w:rsidRPr="008E0628" w:rsidRDefault="008E0628" w:rsidP="008E0628">
      <w:pPr>
        <w:pStyle w:val="Prrafodelista"/>
        <w:numPr>
          <w:ilvl w:val="0"/>
          <w:numId w:val="11"/>
        </w:numPr>
        <w:spacing w:after="0" w:line="240" w:lineRule="auto"/>
        <w:ind w:left="357" w:hanging="357"/>
        <w:jc w:val="both"/>
        <w:rPr>
          <w:rFonts w:ascii="Verdana" w:hAnsi="Verdana"/>
        </w:rPr>
      </w:pPr>
      <w:r w:rsidRPr="008E0628">
        <w:rPr>
          <w:rFonts w:ascii="Verdana" w:hAnsi="Verdana"/>
        </w:rPr>
        <w:t>Incertidumbre sobre la evolución de dichas tendencias tras la fase recesiva actual. Por ahora como en las anteriores disminuye el número de delegados, así como el porcentaje de los mismos que detentan las dos centrales mayoritarias.</w:t>
      </w:r>
    </w:p>
    <w:p w:rsidR="008E0628" w:rsidRPr="008E0628" w:rsidRDefault="008E0628" w:rsidP="008E0628">
      <w:pPr>
        <w:pStyle w:val="Prrafodelista"/>
        <w:numPr>
          <w:ilvl w:val="0"/>
          <w:numId w:val="11"/>
        </w:numPr>
        <w:spacing w:after="0" w:line="240" w:lineRule="auto"/>
        <w:ind w:left="357" w:hanging="357"/>
        <w:jc w:val="both"/>
        <w:rPr>
          <w:rFonts w:ascii="Verdana" w:hAnsi="Verdana"/>
        </w:rPr>
      </w:pPr>
      <w:r w:rsidRPr="008E0628">
        <w:rPr>
          <w:rFonts w:ascii="Verdana" w:hAnsi="Verdana" w:cs="Calibri"/>
        </w:rPr>
        <w:t>En general se observa una correspondencia entre trabajadores que cuentan con representación sindical, la presencia de afiliación sindical y el grado de información que tienen los asalariados sobre el convenio colectivo. Ello se observa tanto en la dimensión de empresa, como sector, pero también en variables demográficas y ocupacionales como sexo, edad, nivel de estudio y ocupación. En conjunto, en 2010 la tasa de afiliación es del 18,9% y la cobertura de la representación sindical es del 47,4%, según los datos de la última ECVT (2010). La representación sindical en la empresa aumenta considerablemente conforme aumenta la dimensión de la empresa. También están más representados (entre el 57 y el 64%) los asalariados de los servicios financ</w:t>
      </w:r>
      <w:r w:rsidRPr="008E0628">
        <w:rPr>
          <w:rFonts w:ascii="Verdana" w:hAnsi="Verdana"/>
        </w:rPr>
        <w:t>ieros y públicos, así como de los transportes y la industria; y están poco representados los ocupados en la agricultura, la construcción, el comercio y hostelería (alrededor del 30%) y los servicios personales (17,5%). La distancia de representación entre indefinidos (50,9%) y temporales (37%) es notable. Y, un argumento importante desde el punto de vista de las organizaciones representativas, allá donde hay afiliación sindical la representación alcanza el 75,4%, mientras que desciende al 40,9% allá donde no hay afiliados.</w:t>
      </w:r>
    </w:p>
    <w:p w:rsidR="00305FF7" w:rsidRDefault="00305FF7" w:rsidP="000E1970">
      <w:pPr>
        <w:spacing w:after="0" w:line="240" w:lineRule="auto"/>
        <w:jc w:val="both"/>
        <w:rPr>
          <w:rFonts w:ascii="Verdana" w:hAnsi="Verdana"/>
        </w:rPr>
      </w:pPr>
    </w:p>
    <w:p w:rsidR="008E0628" w:rsidRDefault="008E0628" w:rsidP="000E1970">
      <w:pPr>
        <w:spacing w:after="0" w:line="240" w:lineRule="auto"/>
        <w:jc w:val="both"/>
        <w:rPr>
          <w:rFonts w:ascii="Verdana" w:hAnsi="Verdana"/>
        </w:rPr>
      </w:pPr>
    </w:p>
    <w:p w:rsidR="006010D0" w:rsidRDefault="006010D0" w:rsidP="000E1970">
      <w:pPr>
        <w:spacing w:after="0" w:line="240" w:lineRule="auto"/>
        <w:jc w:val="both"/>
        <w:rPr>
          <w:rFonts w:ascii="Verdana" w:hAnsi="Verdana"/>
        </w:rPr>
      </w:pPr>
    </w:p>
    <w:p w:rsidR="008E0628" w:rsidRDefault="008E0628" w:rsidP="000E1970">
      <w:pPr>
        <w:spacing w:after="0" w:line="240" w:lineRule="auto"/>
        <w:jc w:val="both"/>
        <w:rPr>
          <w:rFonts w:ascii="Verdana" w:hAnsi="Verdana"/>
          <w:b/>
        </w:rPr>
      </w:pPr>
      <w:r>
        <w:rPr>
          <w:rFonts w:ascii="Verdana" w:hAnsi="Verdana"/>
          <w:b/>
        </w:rPr>
        <w:t>III.2.- Representación sindical y negociación colectiva</w:t>
      </w:r>
    </w:p>
    <w:p w:rsidR="008E0628" w:rsidRDefault="008E0628" w:rsidP="000E1970">
      <w:pPr>
        <w:spacing w:after="0" w:line="240" w:lineRule="auto"/>
        <w:jc w:val="both"/>
        <w:rPr>
          <w:rFonts w:ascii="Verdana" w:hAnsi="Verdana"/>
        </w:rPr>
      </w:pPr>
    </w:p>
    <w:p w:rsidR="006010D0" w:rsidRPr="006010D0" w:rsidRDefault="006010D0" w:rsidP="006010D0">
      <w:pPr>
        <w:spacing w:line="240" w:lineRule="auto"/>
        <w:jc w:val="both"/>
        <w:rPr>
          <w:rFonts w:ascii="Verdana" w:hAnsi="Verdana"/>
        </w:rPr>
      </w:pPr>
      <w:r w:rsidRPr="006010D0">
        <w:rPr>
          <w:rFonts w:ascii="Verdana" w:hAnsi="Verdana"/>
        </w:rPr>
        <w:t>El análisis del alcance de la representación sindical así como de la negociación colectiva en la empresa se realizará a partir de dos variables. En primer lugar, la derivada de la pregunta del cuestionario de la ECVT sobre la existencia de estructura de representación de los trabajadores que facilite la negociación colectiva. Y, en segundo lugar, de cara a valorar el alcance de la negociación colectiva se incluye la pregunta del cuestionario referida a la existencia de convenio colectivo o estatuto específico que regule las condiciones laborales en la empresa o sector. Dichas variables se han cruzado por el tamaño de la empresa, el sector y la comunidad autónoma con el objetivo de analizar la diversidad existente.</w:t>
      </w:r>
    </w:p>
    <w:p w:rsidR="006010D0" w:rsidRPr="006010D0" w:rsidRDefault="006010D0" w:rsidP="006010D0">
      <w:pPr>
        <w:spacing w:line="240" w:lineRule="auto"/>
        <w:jc w:val="both"/>
        <w:rPr>
          <w:rFonts w:ascii="Verdana" w:hAnsi="Verdana"/>
        </w:rPr>
      </w:pPr>
      <w:r w:rsidRPr="006010D0">
        <w:rPr>
          <w:rFonts w:ascii="Verdana" w:hAnsi="Verdana"/>
        </w:rPr>
        <w:t xml:space="preserve">Tomando en primer lugar el alcance de la representación sindical, observamos como el porcentaje total de trabajadores que afirman que existe una estructura que facilita la negociación colectiva en su empresa ha descendido entre los años </w:t>
      </w:r>
      <w:smartTag w:uri="urn:schemas-microsoft-com:office:smarttags" w:element="metricconverter">
        <w:smartTagPr>
          <w:attr w:name="ProductID" w:val="2003 a"/>
        </w:smartTagPr>
        <w:r w:rsidRPr="006010D0">
          <w:rPr>
            <w:rFonts w:ascii="Verdana" w:hAnsi="Verdana"/>
          </w:rPr>
          <w:t>2003 a</w:t>
        </w:r>
      </w:smartTag>
      <w:r w:rsidRPr="006010D0">
        <w:rPr>
          <w:rFonts w:ascii="Verdana" w:hAnsi="Verdana"/>
        </w:rPr>
        <w:t xml:space="preserve"> 2010, desde el 54,9% hasta el 47,4%. Asimismo, tal y como podía esperarse, el porcentaje de trabajadores que responden afirmativamente sobre la existencia de representación sindical o </w:t>
      </w:r>
      <w:r w:rsidRPr="006010D0">
        <w:rPr>
          <w:rFonts w:ascii="Verdana" w:hAnsi="Verdana"/>
        </w:rPr>
        <w:lastRenderedPageBreak/>
        <w:t>estructura que facilita la negociación colectiva en la empresa, está relacionado positivamente con el tamaño de ésta. Considerando las diferencias según el tamaño de la empresa, vemos en el gráfico 3.3 cómo para todas las dimensiones existe una tendencia a descender entre 2003 y 2007, descenso que se modera entre 2007 y 2010, sobre todo en las empresas de mayores dimensiones</w:t>
      </w:r>
      <w:r w:rsidRPr="006010D0">
        <w:rPr>
          <w:rStyle w:val="Refdenotaalpie"/>
          <w:rFonts w:ascii="Verdana" w:hAnsi="Verdana"/>
        </w:rPr>
        <w:footnoteReference w:id="30"/>
      </w:r>
      <w:r w:rsidRPr="006010D0">
        <w:rPr>
          <w:rFonts w:ascii="Verdana" w:hAnsi="Verdana"/>
        </w:rPr>
        <w:t>.</w:t>
      </w: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center"/>
        <w:rPr>
          <w:rFonts w:ascii="Verdana" w:hAnsi="Verdana"/>
        </w:rPr>
      </w:pPr>
      <w:r w:rsidRPr="006010D0">
        <w:rPr>
          <w:rFonts w:ascii="Verdana" w:hAnsi="Verdana"/>
        </w:rPr>
        <w:t>Gráfico 3.3. Trabajadores que conocen la existencia de representación sindical en su empresa según tamaño de la misma (en %)</w:t>
      </w:r>
    </w:p>
    <w:p w:rsidR="006010D0" w:rsidRPr="006010D0" w:rsidRDefault="006010D0" w:rsidP="006010D0">
      <w:pPr>
        <w:spacing w:line="240" w:lineRule="auto"/>
        <w:jc w:val="center"/>
        <w:rPr>
          <w:rFonts w:ascii="Verdana" w:hAnsi="Verdana"/>
        </w:rPr>
      </w:pPr>
      <w:r w:rsidRPr="006010D0">
        <w:rPr>
          <w:rFonts w:ascii="Verdana" w:hAnsi="Verdana"/>
          <w:noProof/>
          <w:lang w:eastAsia="es-ES"/>
        </w:rPr>
        <w:drawing>
          <wp:inline distT="0" distB="0" distL="0" distR="0" wp14:anchorId="1D84E5D9" wp14:editId="0E726F9B">
            <wp:extent cx="4290695" cy="2708275"/>
            <wp:effectExtent l="1905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4" cstate="print"/>
                    <a:srcRect/>
                    <a:stretch>
                      <a:fillRect/>
                    </a:stretch>
                  </pic:blipFill>
                  <pic:spPr bwMode="auto">
                    <a:xfrm>
                      <a:off x="0" y="0"/>
                      <a:ext cx="4290695" cy="2708275"/>
                    </a:xfrm>
                    <a:prstGeom prst="rect">
                      <a:avLst/>
                    </a:prstGeom>
                    <a:noFill/>
                    <a:ln w="9525">
                      <a:noFill/>
                      <a:miter lim="800000"/>
                      <a:headEnd/>
                      <a:tailEnd/>
                    </a:ln>
                  </pic:spPr>
                </pic:pic>
              </a:graphicData>
            </a:graphic>
          </wp:inline>
        </w:drawing>
      </w:r>
    </w:p>
    <w:p w:rsidR="006010D0" w:rsidRPr="006010D0" w:rsidRDefault="006010D0" w:rsidP="006010D0">
      <w:pPr>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sz w:val="24"/>
          <w:szCs w:val="24"/>
        </w:rPr>
      </w:pPr>
    </w:p>
    <w:p w:rsidR="006010D0" w:rsidRPr="006010D0" w:rsidRDefault="006010D0" w:rsidP="006010D0">
      <w:pPr>
        <w:spacing w:line="240" w:lineRule="auto"/>
        <w:jc w:val="both"/>
        <w:rPr>
          <w:rFonts w:ascii="Verdana" w:hAnsi="Verdana"/>
        </w:rPr>
      </w:pPr>
      <w:r w:rsidRPr="006010D0">
        <w:rPr>
          <w:rFonts w:ascii="Verdana" w:hAnsi="Verdana"/>
        </w:rPr>
        <w:t xml:space="preserve">De forma a similar a lo que se hizo en la anterior sección, para analizar el efecto de la existencia de representación sindical sobre la afiliación y viceversa, contrastaremos las dos variables. La tabla 3.9 muestra para diferentes tamaños de empresa la relación existente entre ambas. En particular, puede apreciarse que existe una relación positiva entre ambas variables. De este modo, la mayoría de individuos que responden estar afiliados al sindicato confirman también la existencia de una estructura de representación de intereses y de negociación a nivel de empresa. Esta evidencia, en línea con la mostrada con datos de la Encuesta Social Europea, se opone, o matiza, la existencia de un efecto </w:t>
      </w:r>
      <w:r w:rsidRPr="006010D0">
        <w:rPr>
          <w:rFonts w:ascii="Verdana" w:hAnsi="Verdana"/>
          <w:i/>
        </w:rPr>
        <w:t>free-</w:t>
      </w:r>
      <w:proofErr w:type="spellStart"/>
      <w:r w:rsidRPr="006010D0">
        <w:rPr>
          <w:rFonts w:ascii="Verdana" w:hAnsi="Verdana"/>
          <w:i/>
        </w:rPr>
        <w:t>rider</w:t>
      </w:r>
      <w:proofErr w:type="spellEnd"/>
      <w:r w:rsidRPr="006010D0">
        <w:rPr>
          <w:rFonts w:ascii="Verdana" w:hAnsi="Verdana"/>
        </w:rPr>
        <w:t xml:space="preserve"> en las relaciones laborales, según el cual la existencia de estructuras de </w:t>
      </w:r>
      <w:r w:rsidRPr="006010D0">
        <w:rPr>
          <w:rFonts w:ascii="Verdana" w:hAnsi="Verdana"/>
        </w:rPr>
        <w:lastRenderedPageBreak/>
        <w:t xml:space="preserve">negociación y representación sindicales tendría reflejo en una menor afiliación. Los datos muestran precisamente que existe un mecanismo de reforzamiento mutuo entre estas dos variables, de forma que la existencia de una favorece la otra. No obstante, tal y como muestra la tabla 3.6, para el caso de los trabajadores que no están afiliados, sí que se observa un cierto efecto </w:t>
      </w:r>
      <w:r w:rsidRPr="006010D0">
        <w:rPr>
          <w:rFonts w:ascii="Verdana" w:hAnsi="Verdana"/>
          <w:i/>
        </w:rPr>
        <w:t>free-</w:t>
      </w:r>
      <w:proofErr w:type="spellStart"/>
      <w:r w:rsidRPr="006010D0">
        <w:rPr>
          <w:rFonts w:ascii="Verdana" w:hAnsi="Verdana"/>
          <w:i/>
        </w:rPr>
        <w:t>rider</w:t>
      </w:r>
      <w:proofErr w:type="spellEnd"/>
      <w:r w:rsidRPr="006010D0">
        <w:rPr>
          <w:rFonts w:ascii="Verdana" w:hAnsi="Verdana"/>
        </w:rPr>
        <w:t xml:space="preserve"> sobre todo en las grandes empresas, donde dentro del colectivo de trabajadores que responden no estar afiliados a ningún sindicato, son más numerosos aquellos que responden que en su empresa existe una estructura de representación sindical y de negociación colectiva.</w:t>
      </w: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center"/>
        <w:rPr>
          <w:rFonts w:ascii="Verdana" w:hAnsi="Verdana"/>
        </w:rPr>
      </w:pPr>
      <w:r w:rsidRPr="006010D0">
        <w:rPr>
          <w:rFonts w:ascii="Verdana" w:hAnsi="Verdana"/>
        </w:rPr>
        <w:t>Tabla 3.9. Porcentaje de trabajadores que afirman  la existencia de estructura de representación sindical. Año 2010</w:t>
      </w:r>
    </w:p>
    <w:tbl>
      <w:tblPr>
        <w:tblW w:w="0" w:type="auto"/>
        <w:jc w:val="center"/>
        <w:tblInd w:w="59" w:type="dxa"/>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
      <w:tblGrid>
        <w:gridCol w:w="236"/>
        <w:gridCol w:w="523"/>
        <w:gridCol w:w="2760"/>
        <w:gridCol w:w="1086"/>
        <w:gridCol w:w="1085"/>
        <w:gridCol w:w="1460"/>
        <w:gridCol w:w="1266"/>
      </w:tblGrid>
      <w:tr w:rsidR="006010D0" w:rsidRPr="006010D0" w:rsidTr="00111BCB">
        <w:trPr>
          <w:trHeight w:val="300"/>
          <w:jc w:val="center"/>
        </w:trPr>
        <w:tc>
          <w:tcPr>
            <w:tcW w:w="3118" w:type="dxa"/>
            <w:gridSpan w:val="3"/>
            <w:tcBorders>
              <w:top w:val="double" w:sz="4" w:space="0" w:color="auto"/>
              <w:left w:val="double" w:sz="4" w:space="0" w:color="auto"/>
              <w:bottom w:val="nil"/>
              <w:right w:val="nil"/>
            </w:tcBorders>
            <w:noWrap/>
          </w:tcPr>
          <w:p w:rsidR="006010D0" w:rsidRPr="006010D0" w:rsidRDefault="006010D0" w:rsidP="006010D0">
            <w:pPr>
              <w:spacing w:line="240" w:lineRule="auto"/>
              <w:rPr>
                <w:rFonts w:ascii="Verdana" w:hAnsi="Verdana" w:cs="Calibri"/>
                <w:color w:val="000000"/>
                <w:sz w:val="20"/>
                <w:szCs w:val="20"/>
                <w:lang w:eastAsia="es-ES"/>
              </w:rPr>
            </w:pPr>
            <w:r w:rsidRPr="006010D0">
              <w:rPr>
                <w:rFonts w:ascii="Verdana" w:hAnsi="Verdana" w:cs="Calibri"/>
                <w:b/>
                <w:color w:val="000000"/>
                <w:sz w:val="20"/>
                <w:szCs w:val="20"/>
                <w:lang w:eastAsia="es-ES"/>
              </w:rPr>
              <w:t>Está afiliado a un sindicato</w:t>
            </w:r>
          </w:p>
        </w:tc>
        <w:tc>
          <w:tcPr>
            <w:tcW w:w="0" w:type="auto"/>
            <w:gridSpan w:val="4"/>
            <w:tcBorders>
              <w:top w:val="double" w:sz="4" w:space="0" w:color="auto"/>
              <w:left w:val="nil"/>
              <w:bottom w:val="nil"/>
              <w:right w:val="double" w:sz="4" w:space="0" w:color="auto"/>
            </w:tcBorders>
            <w:noWrap/>
          </w:tcPr>
          <w:p w:rsidR="006010D0" w:rsidRPr="006010D0" w:rsidRDefault="006010D0" w:rsidP="006010D0">
            <w:pPr>
              <w:spacing w:line="240" w:lineRule="auto"/>
              <w:jc w:val="right"/>
              <w:rPr>
                <w:rFonts w:ascii="Verdana" w:hAnsi="Verdana" w:cs="Calibri"/>
                <w:color w:val="000000"/>
                <w:sz w:val="20"/>
                <w:szCs w:val="20"/>
                <w:lang w:eastAsia="es-ES"/>
              </w:rPr>
            </w:pPr>
            <w:r w:rsidRPr="006010D0">
              <w:rPr>
                <w:rFonts w:ascii="Verdana" w:hAnsi="Verdana" w:cs="Calibri"/>
                <w:b/>
                <w:color w:val="000000"/>
                <w:sz w:val="20"/>
                <w:szCs w:val="20"/>
                <w:lang w:eastAsia="es-ES"/>
              </w:rPr>
              <w:t>Existe representación de los trabajadores</w:t>
            </w:r>
          </w:p>
        </w:tc>
      </w:tr>
      <w:tr w:rsidR="006010D0" w:rsidRPr="006010D0" w:rsidTr="00111BCB">
        <w:trPr>
          <w:trHeight w:val="300"/>
          <w:jc w:val="center"/>
        </w:trPr>
        <w:tc>
          <w:tcPr>
            <w:tcW w:w="236" w:type="dxa"/>
            <w:tcBorders>
              <w:top w:val="nil"/>
              <w:left w:val="double" w:sz="4" w:space="0" w:color="auto"/>
              <w:bottom w:val="single" w:sz="8" w:space="0" w:color="000000"/>
              <w:right w:val="nil"/>
            </w:tcBorders>
            <w:noWrap/>
          </w:tcPr>
          <w:p w:rsidR="006010D0" w:rsidRPr="006010D0" w:rsidRDefault="006010D0" w:rsidP="006010D0">
            <w:pPr>
              <w:spacing w:line="240" w:lineRule="auto"/>
              <w:rPr>
                <w:rFonts w:ascii="Verdana" w:hAnsi="Verdana" w:cs="Calibri"/>
                <w:color w:val="000000"/>
                <w:sz w:val="20"/>
                <w:szCs w:val="20"/>
                <w:lang w:eastAsia="es-ES"/>
              </w:rPr>
            </w:pPr>
          </w:p>
        </w:tc>
        <w:tc>
          <w:tcPr>
            <w:tcW w:w="451" w:type="dxa"/>
            <w:tcBorders>
              <w:top w:val="nil"/>
              <w:left w:val="nil"/>
              <w:bottom w:val="single" w:sz="8" w:space="0" w:color="000000"/>
              <w:right w:val="nil"/>
            </w:tcBorders>
            <w:noWrap/>
          </w:tcPr>
          <w:p w:rsidR="006010D0" w:rsidRPr="006010D0" w:rsidRDefault="006010D0" w:rsidP="006010D0">
            <w:pPr>
              <w:spacing w:line="240" w:lineRule="auto"/>
              <w:rPr>
                <w:rFonts w:ascii="Verdana" w:hAnsi="Verdana" w:cs="Calibri"/>
                <w:color w:val="000000"/>
                <w:sz w:val="20"/>
                <w:szCs w:val="20"/>
                <w:lang w:eastAsia="es-ES"/>
              </w:rPr>
            </w:pPr>
          </w:p>
        </w:tc>
        <w:tc>
          <w:tcPr>
            <w:tcW w:w="0" w:type="auto"/>
            <w:tcBorders>
              <w:top w:val="nil"/>
              <w:left w:val="nil"/>
              <w:bottom w:val="single" w:sz="8" w:space="0" w:color="000000"/>
              <w:right w:val="nil"/>
            </w:tcBorders>
            <w:noWrap/>
            <w:vAlign w:val="bottom"/>
          </w:tcPr>
          <w:p w:rsidR="006010D0" w:rsidRPr="006010D0" w:rsidRDefault="006010D0" w:rsidP="006010D0">
            <w:pPr>
              <w:spacing w:line="240" w:lineRule="auto"/>
              <w:rPr>
                <w:rFonts w:ascii="Verdana" w:hAnsi="Verdana" w:cs="Calibri"/>
                <w:color w:val="000000"/>
                <w:sz w:val="20"/>
                <w:szCs w:val="20"/>
                <w:lang w:val="en-US" w:eastAsia="es-ES"/>
              </w:rPr>
            </w:pPr>
            <w:proofErr w:type="spellStart"/>
            <w:r w:rsidRPr="006010D0">
              <w:rPr>
                <w:rFonts w:ascii="Verdana" w:hAnsi="Verdana" w:cs="Calibri"/>
                <w:b/>
                <w:color w:val="000000"/>
                <w:sz w:val="20"/>
                <w:szCs w:val="20"/>
                <w:lang w:val="en-US" w:eastAsia="es-ES"/>
              </w:rPr>
              <w:t>Tamaño</w:t>
            </w:r>
            <w:proofErr w:type="spellEnd"/>
            <w:r w:rsidRPr="006010D0">
              <w:rPr>
                <w:rFonts w:ascii="Verdana" w:hAnsi="Verdana" w:cs="Calibri"/>
                <w:b/>
                <w:color w:val="000000"/>
                <w:sz w:val="20"/>
                <w:szCs w:val="20"/>
                <w:lang w:val="en-US" w:eastAsia="es-ES"/>
              </w:rPr>
              <w:t xml:space="preserve"> de la </w:t>
            </w:r>
            <w:proofErr w:type="spellStart"/>
            <w:r w:rsidRPr="006010D0">
              <w:rPr>
                <w:rFonts w:ascii="Verdana" w:hAnsi="Verdana" w:cs="Calibri"/>
                <w:b/>
                <w:color w:val="000000"/>
                <w:sz w:val="20"/>
                <w:szCs w:val="20"/>
                <w:lang w:val="en-US" w:eastAsia="es-ES"/>
              </w:rPr>
              <w:t>empresa</w:t>
            </w:r>
            <w:proofErr w:type="spellEnd"/>
          </w:p>
        </w:tc>
        <w:tc>
          <w:tcPr>
            <w:tcW w:w="0" w:type="auto"/>
            <w:tcBorders>
              <w:top w:val="nil"/>
              <w:left w:val="nil"/>
              <w:bottom w:val="single" w:sz="8" w:space="0" w:color="000000"/>
              <w:right w:val="nil"/>
            </w:tcBorders>
            <w:noWrap/>
            <w:vAlign w:val="bottom"/>
          </w:tcPr>
          <w:p w:rsidR="006010D0" w:rsidRPr="006010D0" w:rsidRDefault="006010D0" w:rsidP="006010D0">
            <w:pPr>
              <w:spacing w:line="240" w:lineRule="auto"/>
              <w:rPr>
                <w:rFonts w:ascii="Verdana" w:hAnsi="Verdana" w:cs="Arial"/>
                <w:color w:val="000000"/>
                <w:sz w:val="20"/>
                <w:szCs w:val="20"/>
                <w:lang w:val="en-US" w:eastAsia="es-ES"/>
              </w:rPr>
            </w:pPr>
            <w:r w:rsidRPr="006010D0">
              <w:rPr>
                <w:rFonts w:ascii="Verdana" w:hAnsi="Verdana" w:cs="Calibri"/>
                <w:b/>
                <w:color w:val="000000"/>
                <w:sz w:val="20"/>
                <w:szCs w:val="20"/>
                <w:lang w:val="en-US" w:eastAsia="es-ES"/>
              </w:rPr>
              <w:t>Si</w:t>
            </w:r>
          </w:p>
        </w:tc>
        <w:tc>
          <w:tcPr>
            <w:tcW w:w="0" w:type="auto"/>
            <w:tcBorders>
              <w:top w:val="nil"/>
              <w:left w:val="nil"/>
              <w:bottom w:val="single" w:sz="8" w:space="0" w:color="000000"/>
              <w:right w:val="nil"/>
            </w:tcBorders>
            <w:noWrap/>
            <w:vAlign w:val="bottom"/>
          </w:tcPr>
          <w:p w:rsidR="006010D0" w:rsidRPr="006010D0" w:rsidRDefault="006010D0" w:rsidP="006010D0">
            <w:pPr>
              <w:spacing w:line="240" w:lineRule="auto"/>
              <w:rPr>
                <w:rFonts w:ascii="Verdana" w:hAnsi="Verdana" w:cs="Arial"/>
                <w:color w:val="000000"/>
                <w:sz w:val="20"/>
                <w:szCs w:val="20"/>
                <w:lang w:val="en-US" w:eastAsia="es-ES"/>
              </w:rPr>
            </w:pPr>
            <w:r w:rsidRPr="006010D0">
              <w:rPr>
                <w:rFonts w:ascii="Verdana" w:hAnsi="Verdana" w:cs="Calibri"/>
                <w:b/>
                <w:color w:val="000000"/>
                <w:sz w:val="20"/>
                <w:szCs w:val="20"/>
                <w:lang w:val="en-US" w:eastAsia="es-ES"/>
              </w:rPr>
              <w:t>No</w:t>
            </w:r>
          </w:p>
        </w:tc>
        <w:tc>
          <w:tcPr>
            <w:tcW w:w="0" w:type="auto"/>
            <w:tcBorders>
              <w:top w:val="nil"/>
              <w:left w:val="nil"/>
              <w:bottom w:val="single" w:sz="8" w:space="0" w:color="000000"/>
              <w:right w:val="nil"/>
            </w:tcBorders>
            <w:noWrap/>
            <w:vAlign w:val="bottom"/>
          </w:tcPr>
          <w:p w:rsidR="006010D0" w:rsidRPr="006010D0" w:rsidRDefault="006010D0" w:rsidP="006010D0">
            <w:pPr>
              <w:spacing w:line="240" w:lineRule="auto"/>
              <w:rPr>
                <w:rFonts w:ascii="Verdana" w:hAnsi="Verdana" w:cs="Arial"/>
                <w:color w:val="000000"/>
                <w:sz w:val="20"/>
                <w:szCs w:val="20"/>
                <w:lang w:val="en-US" w:eastAsia="es-ES"/>
              </w:rPr>
            </w:pPr>
            <w:r w:rsidRPr="006010D0">
              <w:rPr>
                <w:rFonts w:ascii="Verdana" w:hAnsi="Verdana" w:cs="Calibri"/>
                <w:b/>
                <w:color w:val="000000"/>
                <w:sz w:val="20"/>
                <w:szCs w:val="20"/>
                <w:lang w:val="en-US" w:eastAsia="es-ES"/>
              </w:rPr>
              <w:t>Ns/</w:t>
            </w:r>
            <w:proofErr w:type="spellStart"/>
            <w:r w:rsidRPr="006010D0">
              <w:rPr>
                <w:rFonts w:ascii="Verdana" w:hAnsi="Verdana" w:cs="Calibri"/>
                <w:b/>
                <w:color w:val="000000"/>
                <w:sz w:val="20"/>
                <w:szCs w:val="20"/>
                <w:lang w:val="en-US" w:eastAsia="es-ES"/>
              </w:rPr>
              <w:t>nc</w:t>
            </w:r>
            <w:proofErr w:type="spellEnd"/>
          </w:p>
        </w:tc>
        <w:tc>
          <w:tcPr>
            <w:tcW w:w="0" w:type="auto"/>
            <w:tcBorders>
              <w:top w:val="nil"/>
              <w:left w:val="nil"/>
              <w:bottom w:val="single" w:sz="8" w:space="0" w:color="000000"/>
              <w:right w:val="double" w:sz="4" w:space="0" w:color="auto"/>
            </w:tcBorders>
            <w:noWrap/>
            <w:vAlign w:val="bottom"/>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b/>
                <w:color w:val="000000"/>
                <w:sz w:val="20"/>
                <w:szCs w:val="20"/>
                <w:lang w:val="en-US" w:eastAsia="es-ES"/>
              </w:rPr>
              <w:t>Total</w:t>
            </w:r>
          </w:p>
        </w:tc>
      </w:tr>
      <w:tr w:rsidR="006010D0" w:rsidRPr="006010D0" w:rsidTr="00111BCB">
        <w:trPr>
          <w:trHeight w:val="300"/>
          <w:jc w:val="center"/>
        </w:trPr>
        <w:tc>
          <w:tcPr>
            <w:tcW w:w="236" w:type="dxa"/>
            <w:tcBorders>
              <w:top w:val="single" w:sz="8" w:space="0" w:color="000000"/>
              <w:left w:val="double" w:sz="4" w:space="0" w:color="auto"/>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
        </w:tc>
        <w:tc>
          <w:tcPr>
            <w:tcW w:w="451" w:type="dxa"/>
            <w:tcBorders>
              <w:top w:val="single" w:sz="8" w:space="0" w:color="000000"/>
              <w:left w:val="nil"/>
              <w:bottom w:val="nil"/>
              <w:right w:val="nil"/>
            </w:tcBorders>
            <w:noWrap/>
            <w:vAlign w:val="center"/>
          </w:tcPr>
          <w:p w:rsidR="006010D0" w:rsidRPr="006010D0" w:rsidRDefault="006010D0" w:rsidP="006010D0">
            <w:pPr>
              <w:spacing w:line="240" w:lineRule="auto"/>
              <w:rPr>
                <w:rFonts w:ascii="Verdana" w:hAnsi="Verdana" w:cs="Calibri"/>
                <w:b/>
                <w:color w:val="000000"/>
                <w:sz w:val="20"/>
                <w:szCs w:val="20"/>
                <w:lang w:val="en-US" w:eastAsia="es-ES"/>
              </w:rPr>
            </w:pPr>
            <w:r w:rsidRPr="006010D0">
              <w:rPr>
                <w:rFonts w:ascii="Verdana" w:hAnsi="Verdana" w:cs="Calibri"/>
                <w:b/>
                <w:color w:val="000000"/>
                <w:sz w:val="20"/>
                <w:szCs w:val="20"/>
                <w:lang w:val="en-US" w:eastAsia="es-ES"/>
              </w:rPr>
              <w:t>Si</w:t>
            </w:r>
          </w:p>
        </w:tc>
        <w:tc>
          <w:tcPr>
            <w:tcW w:w="0" w:type="auto"/>
            <w:tcBorders>
              <w:top w:val="single" w:sz="8" w:space="0" w:color="000000"/>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smartTag w:uri="urn:schemas-microsoft-com:office:smarttags" w:element="metricconverter">
              <w:smartTagPr>
                <w:attr w:name="ProductID" w:val="2 a"/>
              </w:smartTagPr>
              <w:r w:rsidRPr="006010D0">
                <w:rPr>
                  <w:rFonts w:ascii="Verdana" w:hAnsi="Verdana" w:cs="Calibri"/>
                  <w:color w:val="000000"/>
                  <w:sz w:val="20"/>
                  <w:szCs w:val="20"/>
                  <w:lang w:val="en-US" w:eastAsia="es-ES"/>
                </w:rPr>
                <w:t>2 a</w:t>
              </w:r>
            </w:smartTag>
            <w:r w:rsidRPr="006010D0">
              <w:rPr>
                <w:rFonts w:ascii="Verdana" w:hAnsi="Verdana" w:cs="Calibri"/>
                <w:color w:val="000000"/>
                <w:sz w:val="20"/>
                <w:szCs w:val="20"/>
                <w:lang w:val="en-US" w:eastAsia="es-ES"/>
              </w:rPr>
              <w:t xml:space="preserve"> 9</w:t>
            </w:r>
          </w:p>
        </w:tc>
        <w:tc>
          <w:tcPr>
            <w:tcW w:w="0" w:type="auto"/>
            <w:tcBorders>
              <w:top w:val="single" w:sz="8" w:space="0" w:color="000000"/>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30,9</w:t>
            </w:r>
          </w:p>
        </w:tc>
        <w:tc>
          <w:tcPr>
            <w:tcW w:w="0" w:type="auto"/>
            <w:tcBorders>
              <w:top w:val="single" w:sz="8" w:space="0" w:color="000000"/>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55,0</w:t>
            </w:r>
          </w:p>
        </w:tc>
        <w:tc>
          <w:tcPr>
            <w:tcW w:w="0" w:type="auto"/>
            <w:tcBorders>
              <w:top w:val="single" w:sz="8" w:space="0" w:color="000000"/>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14,1</w:t>
            </w:r>
          </w:p>
        </w:tc>
        <w:tc>
          <w:tcPr>
            <w:tcW w:w="0" w:type="auto"/>
            <w:tcBorders>
              <w:top w:val="single" w:sz="8" w:space="0" w:color="000000"/>
              <w:left w:val="nil"/>
              <w:bottom w:val="nil"/>
              <w:right w:val="double" w:sz="4" w:space="0" w:color="auto"/>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w:t>
            </w:r>
          </w:p>
        </w:tc>
      </w:tr>
      <w:tr w:rsidR="006010D0" w:rsidRPr="006010D0" w:rsidTr="00111BCB">
        <w:trPr>
          <w:trHeight w:val="300"/>
          <w:jc w:val="center"/>
        </w:trPr>
        <w:tc>
          <w:tcPr>
            <w:tcW w:w="236" w:type="dxa"/>
            <w:tcBorders>
              <w:top w:val="nil"/>
              <w:left w:val="double" w:sz="4" w:space="0" w:color="auto"/>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
        </w:tc>
        <w:tc>
          <w:tcPr>
            <w:tcW w:w="451" w:type="dxa"/>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smartTag w:uri="urn:schemas-microsoft-com:office:smarttags" w:element="metricconverter">
              <w:smartTagPr>
                <w:attr w:name="ProductID" w:val="10 a"/>
              </w:smartTagPr>
              <w:r w:rsidRPr="006010D0">
                <w:rPr>
                  <w:rFonts w:ascii="Verdana" w:hAnsi="Verdana" w:cs="Calibri"/>
                  <w:color w:val="000000"/>
                  <w:sz w:val="20"/>
                  <w:szCs w:val="20"/>
                  <w:lang w:val="en-US" w:eastAsia="es-ES"/>
                </w:rPr>
                <w:t>10 a</w:t>
              </w:r>
            </w:smartTag>
            <w:r w:rsidRPr="006010D0">
              <w:rPr>
                <w:rFonts w:ascii="Verdana" w:hAnsi="Verdana" w:cs="Calibri"/>
                <w:color w:val="000000"/>
                <w:sz w:val="20"/>
                <w:szCs w:val="20"/>
                <w:lang w:val="en-US" w:eastAsia="es-ES"/>
              </w:rPr>
              <w:t xml:space="preserve"> 49</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48,7</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37,8</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13,4</w:t>
            </w:r>
          </w:p>
        </w:tc>
        <w:tc>
          <w:tcPr>
            <w:tcW w:w="0" w:type="auto"/>
            <w:tcBorders>
              <w:top w:val="nil"/>
              <w:left w:val="nil"/>
              <w:bottom w:val="nil"/>
              <w:right w:val="double" w:sz="4" w:space="0" w:color="auto"/>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w:t>
            </w:r>
          </w:p>
        </w:tc>
      </w:tr>
      <w:tr w:rsidR="006010D0" w:rsidRPr="006010D0" w:rsidTr="00111BCB">
        <w:trPr>
          <w:trHeight w:val="300"/>
          <w:jc w:val="center"/>
        </w:trPr>
        <w:tc>
          <w:tcPr>
            <w:tcW w:w="236" w:type="dxa"/>
            <w:tcBorders>
              <w:top w:val="nil"/>
              <w:left w:val="double" w:sz="4" w:space="0" w:color="auto"/>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
        </w:tc>
        <w:tc>
          <w:tcPr>
            <w:tcW w:w="451" w:type="dxa"/>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smartTag w:uri="urn:schemas-microsoft-com:office:smarttags" w:element="metricconverter">
              <w:smartTagPr>
                <w:attr w:name="ProductID" w:val="50 a"/>
              </w:smartTagPr>
              <w:r w:rsidRPr="006010D0">
                <w:rPr>
                  <w:rFonts w:ascii="Verdana" w:hAnsi="Verdana" w:cs="Calibri"/>
                  <w:color w:val="000000"/>
                  <w:sz w:val="20"/>
                  <w:szCs w:val="20"/>
                  <w:lang w:val="en-US" w:eastAsia="es-ES"/>
                </w:rPr>
                <w:t>50 a</w:t>
              </w:r>
            </w:smartTag>
            <w:r w:rsidRPr="006010D0">
              <w:rPr>
                <w:rFonts w:ascii="Verdana" w:hAnsi="Verdana" w:cs="Calibri"/>
                <w:color w:val="000000"/>
                <w:sz w:val="20"/>
                <w:szCs w:val="20"/>
                <w:lang w:val="en-US" w:eastAsia="es-ES"/>
              </w:rPr>
              <w:t xml:space="preserve"> 249</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54,2</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34,2</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11,6</w:t>
            </w:r>
          </w:p>
        </w:tc>
        <w:tc>
          <w:tcPr>
            <w:tcW w:w="0" w:type="auto"/>
            <w:tcBorders>
              <w:top w:val="nil"/>
              <w:left w:val="nil"/>
              <w:bottom w:val="nil"/>
              <w:right w:val="double" w:sz="4" w:space="0" w:color="auto"/>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w:t>
            </w:r>
          </w:p>
        </w:tc>
      </w:tr>
      <w:tr w:rsidR="006010D0" w:rsidRPr="006010D0" w:rsidTr="00111BCB">
        <w:trPr>
          <w:trHeight w:val="300"/>
          <w:jc w:val="center"/>
        </w:trPr>
        <w:tc>
          <w:tcPr>
            <w:tcW w:w="236" w:type="dxa"/>
            <w:tcBorders>
              <w:top w:val="nil"/>
              <w:left w:val="double" w:sz="4" w:space="0" w:color="auto"/>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
        </w:tc>
        <w:tc>
          <w:tcPr>
            <w:tcW w:w="451" w:type="dxa"/>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roofErr w:type="spellStart"/>
            <w:r w:rsidRPr="006010D0">
              <w:rPr>
                <w:rFonts w:ascii="Verdana" w:hAnsi="Verdana" w:cs="Calibri"/>
                <w:color w:val="000000"/>
                <w:sz w:val="20"/>
                <w:szCs w:val="20"/>
                <w:lang w:val="en-US" w:eastAsia="es-ES"/>
              </w:rPr>
              <w:t>más</w:t>
            </w:r>
            <w:proofErr w:type="spellEnd"/>
            <w:r w:rsidRPr="006010D0">
              <w:rPr>
                <w:rFonts w:ascii="Verdana" w:hAnsi="Verdana" w:cs="Calibri"/>
                <w:color w:val="000000"/>
                <w:sz w:val="20"/>
                <w:szCs w:val="20"/>
                <w:lang w:val="en-US" w:eastAsia="es-ES"/>
              </w:rPr>
              <w:t xml:space="preserve"> de 250</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61,5</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29,1</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9,4</w:t>
            </w:r>
          </w:p>
        </w:tc>
        <w:tc>
          <w:tcPr>
            <w:tcW w:w="0" w:type="auto"/>
            <w:tcBorders>
              <w:top w:val="nil"/>
              <w:left w:val="nil"/>
              <w:bottom w:val="nil"/>
              <w:right w:val="double" w:sz="4" w:space="0" w:color="auto"/>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w:t>
            </w:r>
          </w:p>
        </w:tc>
      </w:tr>
      <w:tr w:rsidR="006010D0" w:rsidRPr="006010D0" w:rsidTr="00111BCB">
        <w:trPr>
          <w:trHeight w:val="300"/>
          <w:jc w:val="center"/>
        </w:trPr>
        <w:tc>
          <w:tcPr>
            <w:tcW w:w="236" w:type="dxa"/>
            <w:tcBorders>
              <w:top w:val="nil"/>
              <w:left w:val="double" w:sz="4" w:space="0" w:color="auto"/>
              <w:bottom w:val="single" w:sz="8" w:space="0" w:color="000000"/>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
        </w:tc>
        <w:tc>
          <w:tcPr>
            <w:tcW w:w="451" w:type="dxa"/>
            <w:tcBorders>
              <w:top w:val="nil"/>
              <w:left w:val="nil"/>
              <w:bottom w:val="single" w:sz="8" w:space="0" w:color="000000"/>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
        </w:tc>
        <w:tc>
          <w:tcPr>
            <w:tcW w:w="0" w:type="auto"/>
            <w:tcBorders>
              <w:top w:val="nil"/>
              <w:left w:val="nil"/>
              <w:bottom w:val="single" w:sz="8" w:space="0" w:color="000000"/>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Total</w:t>
            </w:r>
          </w:p>
        </w:tc>
        <w:tc>
          <w:tcPr>
            <w:tcW w:w="0" w:type="auto"/>
            <w:tcBorders>
              <w:top w:val="nil"/>
              <w:left w:val="nil"/>
              <w:bottom w:val="single" w:sz="8" w:space="0" w:color="000000"/>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55,9</w:t>
            </w:r>
          </w:p>
        </w:tc>
        <w:tc>
          <w:tcPr>
            <w:tcW w:w="0" w:type="auto"/>
            <w:tcBorders>
              <w:top w:val="nil"/>
              <w:left w:val="nil"/>
              <w:bottom w:val="single" w:sz="8" w:space="0" w:color="000000"/>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33,4</w:t>
            </w:r>
          </w:p>
        </w:tc>
        <w:tc>
          <w:tcPr>
            <w:tcW w:w="0" w:type="auto"/>
            <w:tcBorders>
              <w:top w:val="nil"/>
              <w:left w:val="nil"/>
              <w:bottom w:val="single" w:sz="8" w:space="0" w:color="000000"/>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10,7</w:t>
            </w:r>
          </w:p>
        </w:tc>
        <w:tc>
          <w:tcPr>
            <w:tcW w:w="0" w:type="auto"/>
            <w:tcBorders>
              <w:top w:val="nil"/>
              <w:left w:val="nil"/>
              <w:bottom w:val="single" w:sz="8" w:space="0" w:color="000000"/>
              <w:right w:val="double" w:sz="4" w:space="0" w:color="auto"/>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w:t>
            </w:r>
          </w:p>
        </w:tc>
      </w:tr>
      <w:tr w:rsidR="006010D0" w:rsidRPr="006010D0" w:rsidTr="00111BCB">
        <w:trPr>
          <w:trHeight w:val="300"/>
          <w:jc w:val="center"/>
        </w:trPr>
        <w:tc>
          <w:tcPr>
            <w:tcW w:w="236" w:type="dxa"/>
            <w:tcBorders>
              <w:top w:val="single" w:sz="8" w:space="0" w:color="000000"/>
              <w:left w:val="double" w:sz="4" w:space="0" w:color="auto"/>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
        </w:tc>
        <w:tc>
          <w:tcPr>
            <w:tcW w:w="451" w:type="dxa"/>
            <w:tcBorders>
              <w:top w:val="single" w:sz="8" w:space="0" w:color="000000"/>
              <w:left w:val="nil"/>
              <w:bottom w:val="nil"/>
              <w:right w:val="nil"/>
            </w:tcBorders>
            <w:noWrap/>
            <w:vAlign w:val="center"/>
          </w:tcPr>
          <w:p w:rsidR="006010D0" w:rsidRPr="006010D0" w:rsidRDefault="006010D0" w:rsidP="006010D0">
            <w:pPr>
              <w:spacing w:line="240" w:lineRule="auto"/>
              <w:rPr>
                <w:rFonts w:ascii="Verdana" w:hAnsi="Verdana" w:cs="Calibri"/>
                <w:b/>
                <w:color w:val="000000"/>
                <w:sz w:val="20"/>
                <w:szCs w:val="20"/>
                <w:lang w:val="en-US" w:eastAsia="es-ES"/>
              </w:rPr>
            </w:pPr>
            <w:r w:rsidRPr="006010D0">
              <w:rPr>
                <w:rFonts w:ascii="Verdana" w:hAnsi="Verdana" w:cs="Calibri"/>
                <w:b/>
                <w:color w:val="000000"/>
                <w:sz w:val="20"/>
                <w:szCs w:val="20"/>
                <w:lang w:val="en-US" w:eastAsia="es-ES"/>
              </w:rPr>
              <w:t>No</w:t>
            </w:r>
          </w:p>
        </w:tc>
        <w:tc>
          <w:tcPr>
            <w:tcW w:w="0" w:type="auto"/>
            <w:tcBorders>
              <w:top w:val="single" w:sz="8" w:space="0" w:color="000000"/>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smartTag w:uri="urn:schemas-microsoft-com:office:smarttags" w:element="metricconverter">
              <w:smartTagPr>
                <w:attr w:name="ProductID" w:val="2 a"/>
              </w:smartTagPr>
              <w:r w:rsidRPr="006010D0">
                <w:rPr>
                  <w:rFonts w:ascii="Verdana" w:hAnsi="Verdana" w:cs="Calibri"/>
                  <w:color w:val="000000"/>
                  <w:sz w:val="20"/>
                  <w:szCs w:val="20"/>
                  <w:lang w:val="en-US" w:eastAsia="es-ES"/>
                </w:rPr>
                <w:t>2 a</w:t>
              </w:r>
            </w:smartTag>
            <w:r w:rsidRPr="006010D0">
              <w:rPr>
                <w:rFonts w:ascii="Verdana" w:hAnsi="Verdana" w:cs="Calibri"/>
                <w:color w:val="000000"/>
                <w:sz w:val="20"/>
                <w:szCs w:val="20"/>
                <w:lang w:val="en-US" w:eastAsia="es-ES"/>
              </w:rPr>
              <w:t xml:space="preserve"> 9</w:t>
            </w:r>
          </w:p>
        </w:tc>
        <w:tc>
          <w:tcPr>
            <w:tcW w:w="0" w:type="auto"/>
            <w:tcBorders>
              <w:top w:val="single" w:sz="8" w:space="0" w:color="000000"/>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16,6</w:t>
            </w:r>
          </w:p>
        </w:tc>
        <w:tc>
          <w:tcPr>
            <w:tcW w:w="0" w:type="auto"/>
            <w:tcBorders>
              <w:top w:val="single" w:sz="8" w:space="0" w:color="000000"/>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58,9</w:t>
            </w:r>
          </w:p>
        </w:tc>
        <w:tc>
          <w:tcPr>
            <w:tcW w:w="0" w:type="auto"/>
            <w:tcBorders>
              <w:top w:val="single" w:sz="8" w:space="0" w:color="000000"/>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24,5</w:t>
            </w:r>
          </w:p>
        </w:tc>
        <w:tc>
          <w:tcPr>
            <w:tcW w:w="0" w:type="auto"/>
            <w:tcBorders>
              <w:top w:val="single" w:sz="8" w:space="0" w:color="000000"/>
              <w:left w:val="nil"/>
              <w:bottom w:val="nil"/>
              <w:right w:val="double" w:sz="4" w:space="0" w:color="auto"/>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w:t>
            </w:r>
          </w:p>
        </w:tc>
      </w:tr>
      <w:tr w:rsidR="006010D0" w:rsidRPr="006010D0" w:rsidTr="00111BCB">
        <w:trPr>
          <w:trHeight w:val="300"/>
          <w:jc w:val="center"/>
        </w:trPr>
        <w:tc>
          <w:tcPr>
            <w:tcW w:w="236" w:type="dxa"/>
            <w:tcBorders>
              <w:top w:val="nil"/>
              <w:left w:val="double" w:sz="4" w:space="0" w:color="auto"/>
              <w:bottom w:val="nil"/>
              <w:right w:val="nil"/>
            </w:tcBorders>
            <w:noWrap/>
          </w:tcPr>
          <w:p w:rsidR="006010D0" w:rsidRPr="006010D0" w:rsidRDefault="006010D0" w:rsidP="006010D0">
            <w:pPr>
              <w:spacing w:line="240" w:lineRule="auto"/>
              <w:rPr>
                <w:rFonts w:ascii="Verdana" w:hAnsi="Verdana" w:cs="Calibri"/>
                <w:color w:val="000000"/>
                <w:sz w:val="20"/>
                <w:szCs w:val="20"/>
                <w:lang w:val="en-US" w:eastAsia="es-ES"/>
              </w:rPr>
            </w:pPr>
          </w:p>
        </w:tc>
        <w:tc>
          <w:tcPr>
            <w:tcW w:w="451" w:type="dxa"/>
            <w:tcBorders>
              <w:top w:val="nil"/>
              <w:left w:val="nil"/>
              <w:bottom w:val="nil"/>
              <w:right w:val="nil"/>
            </w:tcBorders>
            <w:noWrap/>
          </w:tcPr>
          <w:p w:rsidR="006010D0" w:rsidRPr="006010D0" w:rsidRDefault="006010D0" w:rsidP="006010D0">
            <w:pPr>
              <w:spacing w:line="240" w:lineRule="auto"/>
              <w:rPr>
                <w:rFonts w:ascii="Verdana" w:hAnsi="Verdana" w:cs="Calibri"/>
                <w:color w:val="000000"/>
                <w:sz w:val="20"/>
                <w:szCs w:val="20"/>
                <w:lang w:val="en-US" w:eastAsia="es-ES"/>
              </w:rPr>
            </w:pP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smartTag w:uri="urn:schemas-microsoft-com:office:smarttags" w:element="metricconverter">
              <w:smartTagPr>
                <w:attr w:name="ProductID" w:val="10 a"/>
              </w:smartTagPr>
              <w:r w:rsidRPr="006010D0">
                <w:rPr>
                  <w:rFonts w:ascii="Verdana" w:hAnsi="Verdana" w:cs="Calibri"/>
                  <w:color w:val="000000"/>
                  <w:sz w:val="20"/>
                  <w:szCs w:val="20"/>
                  <w:lang w:val="en-US" w:eastAsia="es-ES"/>
                </w:rPr>
                <w:t>10 a</w:t>
              </w:r>
            </w:smartTag>
            <w:r w:rsidRPr="006010D0">
              <w:rPr>
                <w:rFonts w:ascii="Verdana" w:hAnsi="Verdana" w:cs="Calibri"/>
                <w:color w:val="000000"/>
                <w:sz w:val="20"/>
                <w:szCs w:val="20"/>
                <w:lang w:val="en-US" w:eastAsia="es-ES"/>
              </w:rPr>
              <w:t xml:space="preserve"> 49</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24,9</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45,7</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29,4</w:t>
            </w:r>
          </w:p>
        </w:tc>
        <w:tc>
          <w:tcPr>
            <w:tcW w:w="0" w:type="auto"/>
            <w:tcBorders>
              <w:top w:val="nil"/>
              <w:left w:val="nil"/>
              <w:bottom w:val="nil"/>
              <w:right w:val="double" w:sz="4" w:space="0" w:color="auto"/>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w:t>
            </w:r>
          </w:p>
        </w:tc>
      </w:tr>
      <w:tr w:rsidR="006010D0" w:rsidRPr="006010D0" w:rsidTr="00111BCB">
        <w:trPr>
          <w:trHeight w:val="300"/>
          <w:jc w:val="center"/>
        </w:trPr>
        <w:tc>
          <w:tcPr>
            <w:tcW w:w="236" w:type="dxa"/>
            <w:tcBorders>
              <w:top w:val="nil"/>
              <w:left w:val="double" w:sz="4" w:space="0" w:color="auto"/>
              <w:bottom w:val="nil"/>
              <w:right w:val="nil"/>
            </w:tcBorders>
            <w:noWrap/>
          </w:tcPr>
          <w:p w:rsidR="006010D0" w:rsidRPr="006010D0" w:rsidRDefault="006010D0" w:rsidP="006010D0">
            <w:pPr>
              <w:spacing w:line="240" w:lineRule="auto"/>
              <w:rPr>
                <w:rFonts w:ascii="Verdana" w:hAnsi="Verdana" w:cs="Calibri"/>
                <w:color w:val="000000"/>
                <w:sz w:val="20"/>
                <w:szCs w:val="20"/>
                <w:lang w:val="en-US" w:eastAsia="es-ES"/>
              </w:rPr>
            </w:pPr>
          </w:p>
        </w:tc>
        <w:tc>
          <w:tcPr>
            <w:tcW w:w="451" w:type="dxa"/>
            <w:tcBorders>
              <w:top w:val="nil"/>
              <w:left w:val="nil"/>
              <w:bottom w:val="nil"/>
              <w:right w:val="nil"/>
            </w:tcBorders>
            <w:noWrap/>
          </w:tcPr>
          <w:p w:rsidR="006010D0" w:rsidRPr="006010D0" w:rsidRDefault="006010D0" w:rsidP="006010D0">
            <w:pPr>
              <w:spacing w:line="240" w:lineRule="auto"/>
              <w:rPr>
                <w:rFonts w:ascii="Verdana" w:hAnsi="Verdana" w:cs="Calibri"/>
                <w:color w:val="000000"/>
                <w:sz w:val="20"/>
                <w:szCs w:val="20"/>
                <w:lang w:val="en-US" w:eastAsia="es-ES"/>
              </w:rPr>
            </w:pP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smartTag w:uri="urn:schemas-microsoft-com:office:smarttags" w:element="metricconverter">
              <w:smartTagPr>
                <w:attr w:name="ProductID" w:val="50 a"/>
              </w:smartTagPr>
              <w:r w:rsidRPr="006010D0">
                <w:rPr>
                  <w:rFonts w:ascii="Verdana" w:hAnsi="Verdana" w:cs="Calibri"/>
                  <w:color w:val="000000"/>
                  <w:sz w:val="20"/>
                  <w:szCs w:val="20"/>
                  <w:lang w:val="en-US" w:eastAsia="es-ES"/>
                </w:rPr>
                <w:t>50 a</w:t>
              </w:r>
            </w:smartTag>
            <w:r w:rsidRPr="006010D0">
              <w:rPr>
                <w:rFonts w:ascii="Verdana" w:hAnsi="Verdana" w:cs="Calibri"/>
                <w:color w:val="000000"/>
                <w:sz w:val="20"/>
                <w:szCs w:val="20"/>
                <w:lang w:val="en-US" w:eastAsia="es-ES"/>
              </w:rPr>
              <w:t xml:space="preserve"> 249</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41,2</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34,4</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24,3</w:t>
            </w:r>
          </w:p>
        </w:tc>
        <w:tc>
          <w:tcPr>
            <w:tcW w:w="0" w:type="auto"/>
            <w:tcBorders>
              <w:top w:val="nil"/>
              <w:left w:val="nil"/>
              <w:bottom w:val="nil"/>
              <w:right w:val="double" w:sz="4" w:space="0" w:color="auto"/>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w:t>
            </w:r>
          </w:p>
        </w:tc>
      </w:tr>
      <w:tr w:rsidR="006010D0" w:rsidRPr="006010D0" w:rsidTr="00111BCB">
        <w:trPr>
          <w:trHeight w:val="300"/>
          <w:jc w:val="center"/>
        </w:trPr>
        <w:tc>
          <w:tcPr>
            <w:tcW w:w="236" w:type="dxa"/>
            <w:tcBorders>
              <w:top w:val="nil"/>
              <w:left w:val="double" w:sz="4" w:space="0" w:color="auto"/>
              <w:bottom w:val="nil"/>
              <w:right w:val="nil"/>
            </w:tcBorders>
            <w:noWrap/>
          </w:tcPr>
          <w:p w:rsidR="006010D0" w:rsidRPr="006010D0" w:rsidRDefault="006010D0" w:rsidP="006010D0">
            <w:pPr>
              <w:spacing w:line="240" w:lineRule="auto"/>
              <w:rPr>
                <w:rFonts w:ascii="Verdana" w:hAnsi="Verdana" w:cs="Calibri"/>
                <w:color w:val="000000"/>
                <w:sz w:val="20"/>
                <w:szCs w:val="20"/>
                <w:lang w:val="en-US" w:eastAsia="es-ES"/>
              </w:rPr>
            </w:pPr>
          </w:p>
        </w:tc>
        <w:tc>
          <w:tcPr>
            <w:tcW w:w="451" w:type="dxa"/>
            <w:tcBorders>
              <w:top w:val="nil"/>
              <w:left w:val="nil"/>
              <w:bottom w:val="nil"/>
              <w:right w:val="nil"/>
            </w:tcBorders>
            <w:noWrap/>
          </w:tcPr>
          <w:p w:rsidR="006010D0" w:rsidRPr="006010D0" w:rsidRDefault="006010D0" w:rsidP="006010D0">
            <w:pPr>
              <w:spacing w:line="240" w:lineRule="auto"/>
              <w:rPr>
                <w:rFonts w:ascii="Verdana" w:hAnsi="Verdana" w:cs="Calibri"/>
                <w:color w:val="000000"/>
                <w:sz w:val="20"/>
                <w:szCs w:val="20"/>
                <w:lang w:val="en-US" w:eastAsia="es-ES"/>
              </w:rPr>
            </w:pP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proofErr w:type="spellStart"/>
            <w:r w:rsidRPr="006010D0">
              <w:rPr>
                <w:rFonts w:ascii="Verdana" w:hAnsi="Verdana" w:cs="Calibri"/>
                <w:color w:val="000000"/>
                <w:sz w:val="20"/>
                <w:szCs w:val="20"/>
                <w:lang w:val="en-US" w:eastAsia="es-ES"/>
              </w:rPr>
              <w:t>más</w:t>
            </w:r>
            <w:proofErr w:type="spellEnd"/>
            <w:r w:rsidRPr="006010D0">
              <w:rPr>
                <w:rFonts w:ascii="Verdana" w:hAnsi="Verdana" w:cs="Calibri"/>
                <w:color w:val="000000"/>
                <w:sz w:val="20"/>
                <w:szCs w:val="20"/>
                <w:lang w:val="en-US" w:eastAsia="es-ES"/>
              </w:rPr>
              <w:t xml:space="preserve"> de 250</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46,7</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33,0</w:t>
            </w:r>
          </w:p>
        </w:tc>
        <w:tc>
          <w:tcPr>
            <w:tcW w:w="0" w:type="auto"/>
            <w:tcBorders>
              <w:top w:val="nil"/>
              <w:left w:val="nil"/>
              <w:bottom w:val="nil"/>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20,3</w:t>
            </w:r>
          </w:p>
        </w:tc>
        <w:tc>
          <w:tcPr>
            <w:tcW w:w="0" w:type="auto"/>
            <w:tcBorders>
              <w:top w:val="nil"/>
              <w:left w:val="nil"/>
              <w:bottom w:val="nil"/>
              <w:right w:val="double" w:sz="4" w:space="0" w:color="auto"/>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w:t>
            </w:r>
          </w:p>
        </w:tc>
      </w:tr>
      <w:tr w:rsidR="006010D0" w:rsidRPr="006010D0" w:rsidTr="00111BCB">
        <w:trPr>
          <w:trHeight w:val="300"/>
          <w:jc w:val="center"/>
        </w:trPr>
        <w:tc>
          <w:tcPr>
            <w:tcW w:w="236" w:type="dxa"/>
            <w:tcBorders>
              <w:top w:val="nil"/>
              <w:left w:val="double" w:sz="4" w:space="0" w:color="auto"/>
              <w:bottom w:val="double" w:sz="4" w:space="0" w:color="auto"/>
              <w:right w:val="nil"/>
            </w:tcBorders>
            <w:noWrap/>
          </w:tcPr>
          <w:p w:rsidR="006010D0" w:rsidRPr="006010D0" w:rsidRDefault="006010D0" w:rsidP="006010D0">
            <w:pPr>
              <w:spacing w:line="240" w:lineRule="auto"/>
              <w:rPr>
                <w:rFonts w:ascii="Verdana" w:hAnsi="Verdana" w:cs="Calibri"/>
                <w:color w:val="000000"/>
                <w:sz w:val="20"/>
                <w:szCs w:val="20"/>
                <w:lang w:val="en-US" w:eastAsia="es-ES"/>
              </w:rPr>
            </w:pPr>
          </w:p>
        </w:tc>
        <w:tc>
          <w:tcPr>
            <w:tcW w:w="451" w:type="dxa"/>
            <w:tcBorders>
              <w:top w:val="nil"/>
              <w:left w:val="nil"/>
              <w:bottom w:val="double" w:sz="4" w:space="0" w:color="auto"/>
              <w:right w:val="nil"/>
            </w:tcBorders>
            <w:noWrap/>
          </w:tcPr>
          <w:p w:rsidR="006010D0" w:rsidRPr="006010D0" w:rsidRDefault="006010D0" w:rsidP="006010D0">
            <w:pPr>
              <w:spacing w:line="240" w:lineRule="auto"/>
              <w:rPr>
                <w:rFonts w:ascii="Verdana" w:hAnsi="Verdana" w:cs="Calibri"/>
                <w:color w:val="000000"/>
                <w:sz w:val="20"/>
                <w:szCs w:val="20"/>
                <w:lang w:val="en-US" w:eastAsia="es-ES"/>
              </w:rPr>
            </w:pPr>
          </w:p>
        </w:tc>
        <w:tc>
          <w:tcPr>
            <w:tcW w:w="0" w:type="auto"/>
            <w:tcBorders>
              <w:top w:val="nil"/>
              <w:left w:val="nil"/>
              <w:bottom w:val="double" w:sz="4" w:space="0" w:color="auto"/>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Total</w:t>
            </w:r>
          </w:p>
        </w:tc>
        <w:tc>
          <w:tcPr>
            <w:tcW w:w="0" w:type="auto"/>
            <w:tcBorders>
              <w:top w:val="nil"/>
              <w:left w:val="nil"/>
              <w:bottom w:val="double" w:sz="4" w:space="0" w:color="auto"/>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37,0</w:t>
            </w:r>
          </w:p>
        </w:tc>
        <w:tc>
          <w:tcPr>
            <w:tcW w:w="0" w:type="auto"/>
            <w:tcBorders>
              <w:top w:val="nil"/>
              <w:left w:val="nil"/>
              <w:bottom w:val="double" w:sz="4" w:space="0" w:color="auto"/>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41,3</w:t>
            </w:r>
          </w:p>
        </w:tc>
        <w:tc>
          <w:tcPr>
            <w:tcW w:w="0" w:type="auto"/>
            <w:tcBorders>
              <w:top w:val="nil"/>
              <w:left w:val="nil"/>
              <w:bottom w:val="double" w:sz="4" w:space="0" w:color="auto"/>
              <w:right w:val="nil"/>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Arial"/>
                <w:color w:val="000000"/>
                <w:sz w:val="20"/>
                <w:szCs w:val="20"/>
                <w:lang w:val="en-US" w:eastAsia="es-ES"/>
              </w:rPr>
              <w:t>21,7</w:t>
            </w:r>
          </w:p>
        </w:tc>
        <w:tc>
          <w:tcPr>
            <w:tcW w:w="0" w:type="auto"/>
            <w:tcBorders>
              <w:top w:val="nil"/>
              <w:left w:val="nil"/>
              <w:bottom w:val="double" w:sz="4" w:space="0" w:color="auto"/>
              <w:right w:val="double" w:sz="4" w:space="0" w:color="auto"/>
            </w:tcBorders>
            <w:noWrap/>
            <w:vAlign w:val="center"/>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w:t>
            </w:r>
          </w:p>
        </w:tc>
      </w:tr>
    </w:tbl>
    <w:p w:rsidR="006010D0" w:rsidRPr="006010D0" w:rsidRDefault="006010D0" w:rsidP="006010D0">
      <w:pPr>
        <w:spacing w:line="240" w:lineRule="auto"/>
        <w:jc w:val="center"/>
        <w:rPr>
          <w:rFonts w:ascii="Verdana" w:hAnsi="Verdana"/>
          <w:sz w:val="20"/>
          <w:szCs w:val="20"/>
        </w:rPr>
      </w:pPr>
      <w:r w:rsidRPr="006010D0">
        <w:rPr>
          <w:rFonts w:ascii="Verdana" w:hAnsi="Verdana"/>
          <w:sz w:val="20"/>
          <w:szCs w:val="20"/>
        </w:rPr>
        <w:t>Fuente: con datos de ECVT 2010</w:t>
      </w:r>
    </w:p>
    <w:p w:rsidR="006010D0" w:rsidRPr="006010D0" w:rsidRDefault="006010D0" w:rsidP="006010D0">
      <w:pPr>
        <w:spacing w:line="240" w:lineRule="auto"/>
        <w:ind w:firstLine="708"/>
        <w:jc w:val="both"/>
        <w:rPr>
          <w:rFonts w:ascii="Verdana" w:hAnsi="Verdana"/>
        </w:rPr>
      </w:pPr>
    </w:p>
    <w:p w:rsidR="006010D0" w:rsidRPr="006010D0" w:rsidRDefault="006010D0" w:rsidP="006010D0">
      <w:pPr>
        <w:spacing w:line="240" w:lineRule="auto"/>
        <w:jc w:val="both"/>
        <w:rPr>
          <w:rFonts w:ascii="Verdana" w:hAnsi="Verdana"/>
        </w:rPr>
      </w:pPr>
      <w:r w:rsidRPr="006010D0">
        <w:rPr>
          <w:rFonts w:ascii="Verdana" w:hAnsi="Verdana"/>
        </w:rPr>
        <w:t>En cuanto a la relación entre afiliación y representación sindical por sectores, observamos diferencias significativas en su evolución a lo largo del periodo considerado. En este caso se incluyen sólo los datos correspondientes a la ECVT 2010 debido al cambio en la Clasificación Nacional de Actividades Económicas. Los sectores donde existe un mayor porcentaje de trabajadores en empresas con estructuras de representación sindical son las administraciones públicas, los servicios financieros y las  actividades sanitarias, veterinarias y servicios sociales (tabla 3.10). Ciertamente, estas actividades se caracterizan por un mayor tamaño medio de las empresas. Por el contrario, los trabajadores de transportes y comunicaciones, servicios personales, sector agrario, construcción y muy en particular empleo doméstico son los que disponen en menor medida de estructuras de representación sindical.</w:t>
      </w:r>
    </w:p>
    <w:p w:rsidR="006010D0" w:rsidRPr="006010D0" w:rsidRDefault="006010D0" w:rsidP="006010D0">
      <w:pPr>
        <w:spacing w:line="240" w:lineRule="auto"/>
        <w:jc w:val="both"/>
        <w:rPr>
          <w:rFonts w:ascii="Verdana" w:hAnsi="Verdana"/>
        </w:rPr>
      </w:pPr>
    </w:p>
    <w:p w:rsidR="006010D0" w:rsidRPr="006010D0" w:rsidRDefault="006010D0" w:rsidP="006010D0">
      <w:pPr>
        <w:keepNext/>
        <w:keepLines/>
        <w:spacing w:line="240" w:lineRule="auto"/>
        <w:jc w:val="center"/>
        <w:rPr>
          <w:rFonts w:ascii="Verdana" w:hAnsi="Verdana"/>
        </w:rPr>
      </w:pPr>
      <w:r w:rsidRPr="006010D0">
        <w:rPr>
          <w:rFonts w:ascii="Verdana" w:hAnsi="Verdana"/>
        </w:rPr>
        <w:t>Tabla 3.10. Trabajadores que conocen la existencia de representación sindical en su empresa por sector de actividad. Año 2010 (en %)</w:t>
      </w:r>
    </w:p>
    <w:tbl>
      <w:tblPr>
        <w:tblW w:w="4559" w:type="dxa"/>
        <w:jc w:val="center"/>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
      <w:tblGrid>
        <w:gridCol w:w="3822"/>
        <w:gridCol w:w="886"/>
      </w:tblGrid>
      <w:tr w:rsidR="006010D0" w:rsidRPr="006010D0" w:rsidTr="00111BCB">
        <w:trPr>
          <w:trHeight w:val="300"/>
          <w:jc w:val="center"/>
        </w:trPr>
        <w:tc>
          <w:tcPr>
            <w:tcW w:w="3822" w:type="dxa"/>
            <w:tcBorders>
              <w:top w:val="double" w:sz="4" w:space="0" w:color="auto"/>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Sector agrario</w:t>
            </w:r>
          </w:p>
        </w:tc>
        <w:tc>
          <w:tcPr>
            <w:tcW w:w="737" w:type="dxa"/>
            <w:tcBorders>
              <w:top w:val="double" w:sz="4" w:space="0" w:color="auto"/>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31,6%</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Industria</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57,0%</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Construcción</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31,5%</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Comercio y reparaciones</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39,0%</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Hostelería</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55,3%</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Transporte y comunicaciones</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25,8%</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Sistema financiero</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67,4%</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 xml:space="preserve">Inmobiliarias y </w:t>
            </w:r>
            <w:proofErr w:type="spellStart"/>
            <w:r w:rsidRPr="006010D0">
              <w:rPr>
                <w:rFonts w:ascii="Verdana" w:hAnsi="Verdana" w:cs="Arial"/>
                <w:color w:val="000000"/>
                <w:sz w:val="20"/>
                <w:szCs w:val="20"/>
              </w:rPr>
              <w:t>serv</w:t>
            </w:r>
            <w:proofErr w:type="spellEnd"/>
            <w:r w:rsidRPr="006010D0">
              <w:rPr>
                <w:rFonts w:ascii="Verdana" w:hAnsi="Verdana" w:cs="Arial"/>
                <w:color w:val="000000"/>
                <w:sz w:val="20"/>
                <w:szCs w:val="20"/>
              </w:rPr>
              <w:t>. empresa</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37,3%</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Administraciones públicas</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68,0%</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Educación</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51,9%</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proofErr w:type="spellStart"/>
            <w:r w:rsidRPr="006010D0">
              <w:rPr>
                <w:rFonts w:ascii="Verdana" w:hAnsi="Verdana" w:cs="Arial"/>
                <w:color w:val="000000"/>
                <w:sz w:val="20"/>
                <w:szCs w:val="20"/>
              </w:rPr>
              <w:t>Activ</w:t>
            </w:r>
            <w:proofErr w:type="spellEnd"/>
            <w:r w:rsidRPr="006010D0">
              <w:rPr>
                <w:rFonts w:ascii="Verdana" w:hAnsi="Verdana" w:cs="Arial"/>
                <w:color w:val="000000"/>
                <w:sz w:val="20"/>
                <w:szCs w:val="20"/>
              </w:rPr>
              <w:t xml:space="preserve">. </w:t>
            </w:r>
            <w:proofErr w:type="gramStart"/>
            <w:r w:rsidRPr="006010D0">
              <w:rPr>
                <w:rFonts w:ascii="Verdana" w:hAnsi="Verdana" w:cs="Arial"/>
                <w:color w:val="000000"/>
                <w:sz w:val="20"/>
                <w:szCs w:val="20"/>
              </w:rPr>
              <w:t>sanitarias</w:t>
            </w:r>
            <w:proofErr w:type="gramEnd"/>
            <w:r w:rsidRPr="006010D0">
              <w:rPr>
                <w:rFonts w:ascii="Verdana" w:hAnsi="Verdana" w:cs="Arial"/>
                <w:color w:val="000000"/>
                <w:sz w:val="20"/>
                <w:szCs w:val="20"/>
              </w:rPr>
              <w:t xml:space="preserve">, veterinarias y </w:t>
            </w:r>
            <w:proofErr w:type="spellStart"/>
            <w:r w:rsidRPr="006010D0">
              <w:rPr>
                <w:rFonts w:ascii="Verdana" w:hAnsi="Verdana" w:cs="Arial"/>
                <w:color w:val="000000"/>
                <w:sz w:val="20"/>
                <w:szCs w:val="20"/>
              </w:rPr>
              <w:t>serv</w:t>
            </w:r>
            <w:proofErr w:type="spellEnd"/>
            <w:r w:rsidRPr="006010D0">
              <w:rPr>
                <w:rFonts w:ascii="Verdana" w:hAnsi="Verdana" w:cs="Arial"/>
                <w:color w:val="000000"/>
                <w:sz w:val="20"/>
                <w:szCs w:val="20"/>
              </w:rPr>
              <w:t>. sociales</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62,3%</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Servicios personales</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27,2%</w:t>
            </w:r>
          </w:p>
        </w:tc>
      </w:tr>
      <w:tr w:rsidR="006010D0" w:rsidRPr="006010D0" w:rsidTr="00111BCB">
        <w:trPr>
          <w:trHeight w:val="300"/>
          <w:jc w:val="center"/>
        </w:trPr>
        <w:tc>
          <w:tcPr>
            <w:tcW w:w="3822"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Empleo doméstico</w:t>
            </w:r>
          </w:p>
        </w:tc>
        <w:tc>
          <w:tcPr>
            <w:tcW w:w="737" w:type="dxa"/>
            <w:tcBorders>
              <w:top w:val="nil"/>
              <w:left w:val="nil"/>
              <w:bottom w:val="nil"/>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6,2%</w:t>
            </w:r>
          </w:p>
        </w:tc>
      </w:tr>
      <w:tr w:rsidR="006010D0" w:rsidRPr="006010D0" w:rsidTr="00111BCB">
        <w:trPr>
          <w:trHeight w:val="300"/>
          <w:jc w:val="center"/>
        </w:trPr>
        <w:tc>
          <w:tcPr>
            <w:tcW w:w="3822" w:type="dxa"/>
            <w:tcBorders>
              <w:top w:val="nil"/>
              <w:left w:val="double" w:sz="4" w:space="0" w:color="auto"/>
              <w:bottom w:val="double" w:sz="4" w:space="0" w:color="auto"/>
              <w:right w:val="nil"/>
            </w:tcBorders>
            <w:noWrap/>
          </w:tcPr>
          <w:p w:rsidR="006010D0" w:rsidRPr="006010D0" w:rsidRDefault="006010D0" w:rsidP="006010D0">
            <w:pPr>
              <w:keepNext/>
              <w:keepLines/>
              <w:spacing w:line="240" w:lineRule="auto"/>
              <w:jc w:val="both"/>
              <w:rPr>
                <w:rFonts w:ascii="Verdana" w:hAnsi="Verdana" w:cs="Calibri"/>
                <w:color w:val="000000"/>
                <w:sz w:val="20"/>
                <w:szCs w:val="20"/>
                <w:lang w:eastAsia="es-ES"/>
              </w:rPr>
            </w:pPr>
            <w:r w:rsidRPr="006010D0">
              <w:rPr>
                <w:rFonts w:ascii="Verdana" w:hAnsi="Verdana" w:cs="Arial"/>
                <w:color w:val="000000"/>
                <w:sz w:val="20"/>
                <w:szCs w:val="20"/>
              </w:rPr>
              <w:t>Total</w:t>
            </w:r>
          </w:p>
        </w:tc>
        <w:tc>
          <w:tcPr>
            <w:tcW w:w="737" w:type="dxa"/>
            <w:tcBorders>
              <w:top w:val="nil"/>
              <w:left w:val="nil"/>
              <w:bottom w:val="double" w:sz="4" w:space="0" w:color="auto"/>
              <w:right w:val="double" w:sz="4" w:space="0" w:color="auto"/>
            </w:tcBorders>
          </w:tcPr>
          <w:p w:rsidR="006010D0" w:rsidRPr="006010D0" w:rsidRDefault="006010D0" w:rsidP="006010D0">
            <w:pPr>
              <w:keepNext/>
              <w:keepLines/>
              <w:spacing w:line="240" w:lineRule="auto"/>
              <w:jc w:val="right"/>
              <w:rPr>
                <w:rFonts w:ascii="Verdana" w:hAnsi="Verdana" w:cs="Calibri"/>
                <w:color w:val="000000"/>
                <w:sz w:val="20"/>
                <w:szCs w:val="20"/>
                <w:lang w:val="en-US" w:eastAsia="es-ES"/>
              </w:rPr>
            </w:pPr>
            <w:r w:rsidRPr="006010D0">
              <w:rPr>
                <w:rFonts w:ascii="Verdana" w:hAnsi="Verdana" w:cs="Arial"/>
                <w:color w:val="000000"/>
                <w:sz w:val="20"/>
                <w:szCs w:val="20"/>
                <w:lang w:val="en-US"/>
              </w:rPr>
              <w:t>47,4%</w:t>
            </w:r>
          </w:p>
        </w:tc>
      </w:tr>
    </w:tbl>
    <w:p w:rsidR="006010D0" w:rsidRPr="006010D0" w:rsidRDefault="006010D0" w:rsidP="006010D0">
      <w:pPr>
        <w:keepNext/>
        <w:keepLines/>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r w:rsidRPr="006010D0">
        <w:rPr>
          <w:rFonts w:ascii="Verdana" w:hAnsi="Verdana"/>
        </w:rPr>
        <w:t>La tabla 3.11 muestra las diferencias según CCAA ordenadas según el porcentaje de empresas con estructuras de representación unitaria en 2010. Los mayores porcentajes se registran en regiones del centro y norte peninsular, Madrid y la Rioja. Los niveles más bajos se registran en CCAA del sur. En línea con los datos que se han mostrado en la tabla 3.</w:t>
      </w:r>
      <w:commentRangeStart w:id="2"/>
      <w:r w:rsidRPr="006010D0">
        <w:rPr>
          <w:rFonts w:ascii="Verdana" w:hAnsi="Verdana"/>
        </w:rPr>
        <w:t>1</w:t>
      </w:r>
      <w:commentRangeEnd w:id="2"/>
      <w:r w:rsidRPr="006010D0">
        <w:rPr>
          <w:rStyle w:val="Refdecomentario"/>
          <w:rFonts w:ascii="Verdana" w:hAnsi="Verdana"/>
        </w:rPr>
        <w:commentReference w:id="2"/>
      </w:r>
      <w:r w:rsidRPr="006010D0">
        <w:rPr>
          <w:rFonts w:ascii="Verdana" w:hAnsi="Verdana"/>
        </w:rPr>
        <w:t>, las regiones que han sufrido un mayor descenso en el periodo 2003-2010 han sido Aragón, Madrid, Islas Baleares y Castilla León. Por otro lado, se han registrado aumentos en País Vasco, Canarias y Andalucía.</w:t>
      </w: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r w:rsidRPr="006010D0">
        <w:rPr>
          <w:rFonts w:ascii="Verdana" w:hAnsi="Verdana"/>
        </w:rPr>
        <w:t>Tabla 3.11. Trabajadores que conocen la existencia de representación sindical en su empresa según CCAA</w:t>
      </w:r>
    </w:p>
    <w:tbl>
      <w:tblPr>
        <w:tblW w:w="0" w:type="auto"/>
        <w:jc w:val="center"/>
        <w:tblInd w:w="575" w:type="dxa"/>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
      <w:tblGrid>
        <w:gridCol w:w="2333"/>
        <w:gridCol w:w="1091"/>
        <w:gridCol w:w="1091"/>
        <w:gridCol w:w="1091"/>
      </w:tblGrid>
      <w:tr w:rsidR="006010D0" w:rsidRPr="006010D0" w:rsidTr="00111BCB">
        <w:trPr>
          <w:trHeight w:val="300"/>
          <w:jc w:val="center"/>
        </w:trPr>
        <w:tc>
          <w:tcPr>
            <w:tcW w:w="2333" w:type="dxa"/>
            <w:tcBorders>
              <w:top w:val="double" w:sz="4" w:space="0" w:color="auto"/>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eastAsia="es-ES"/>
              </w:rPr>
            </w:pPr>
          </w:p>
        </w:tc>
        <w:tc>
          <w:tcPr>
            <w:tcW w:w="1091" w:type="dxa"/>
            <w:tcBorders>
              <w:top w:val="double" w:sz="4" w:space="0" w:color="auto"/>
              <w:left w:val="nil"/>
              <w:bottom w:val="nil"/>
              <w:right w:val="nil"/>
            </w:tcBorders>
            <w:noWrap/>
          </w:tcPr>
          <w:p w:rsidR="006010D0" w:rsidRPr="006010D0" w:rsidRDefault="006010D0" w:rsidP="006010D0">
            <w:pPr>
              <w:keepNext/>
              <w:keepLines/>
              <w:spacing w:line="240" w:lineRule="auto"/>
              <w:jc w:val="both"/>
              <w:rPr>
                <w:rFonts w:ascii="Verdana" w:hAnsi="Verdana"/>
                <w:b/>
                <w:color w:val="000000"/>
                <w:sz w:val="20"/>
                <w:szCs w:val="20"/>
                <w:lang w:val="en-US" w:eastAsia="es-ES"/>
              </w:rPr>
            </w:pPr>
            <w:r w:rsidRPr="006010D0">
              <w:rPr>
                <w:rFonts w:ascii="Verdana" w:hAnsi="Verdana"/>
                <w:b/>
                <w:color w:val="000000"/>
                <w:sz w:val="20"/>
                <w:szCs w:val="20"/>
                <w:lang w:val="en-US" w:eastAsia="es-ES"/>
              </w:rPr>
              <w:t>2003</w:t>
            </w:r>
          </w:p>
        </w:tc>
        <w:tc>
          <w:tcPr>
            <w:tcW w:w="1091" w:type="dxa"/>
            <w:tcBorders>
              <w:top w:val="double" w:sz="4" w:space="0" w:color="auto"/>
              <w:left w:val="nil"/>
              <w:bottom w:val="nil"/>
              <w:right w:val="nil"/>
            </w:tcBorders>
            <w:noWrap/>
          </w:tcPr>
          <w:p w:rsidR="006010D0" w:rsidRPr="006010D0" w:rsidRDefault="006010D0" w:rsidP="006010D0">
            <w:pPr>
              <w:keepNext/>
              <w:keepLines/>
              <w:spacing w:line="240" w:lineRule="auto"/>
              <w:jc w:val="both"/>
              <w:rPr>
                <w:rFonts w:ascii="Verdana" w:hAnsi="Verdana"/>
                <w:b/>
                <w:color w:val="000000"/>
                <w:sz w:val="20"/>
                <w:szCs w:val="20"/>
                <w:lang w:val="en-US" w:eastAsia="es-ES"/>
              </w:rPr>
            </w:pPr>
            <w:r w:rsidRPr="006010D0">
              <w:rPr>
                <w:rFonts w:ascii="Verdana" w:hAnsi="Verdana"/>
                <w:b/>
                <w:color w:val="000000"/>
                <w:sz w:val="20"/>
                <w:szCs w:val="20"/>
                <w:lang w:val="en-US" w:eastAsia="es-ES"/>
              </w:rPr>
              <w:t>2007</w:t>
            </w:r>
          </w:p>
        </w:tc>
        <w:tc>
          <w:tcPr>
            <w:tcW w:w="1091" w:type="dxa"/>
            <w:tcBorders>
              <w:top w:val="double" w:sz="4" w:space="0" w:color="auto"/>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b/>
                <w:color w:val="000000"/>
                <w:sz w:val="20"/>
                <w:szCs w:val="20"/>
                <w:lang w:val="en-US" w:eastAsia="es-ES"/>
              </w:rPr>
            </w:pPr>
            <w:r w:rsidRPr="006010D0">
              <w:rPr>
                <w:rFonts w:ascii="Verdana" w:hAnsi="Verdana"/>
                <w:b/>
                <w:color w:val="000000"/>
                <w:sz w:val="20"/>
                <w:szCs w:val="20"/>
                <w:lang w:val="en-US" w:eastAsia="es-ES"/>
              </w:rPr>
              <w:t>2010</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Andalucía</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51,0%</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42,1%</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43,7%</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Aragón</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71,3%</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57,1%</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52,6%</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smartTag w:uri="urn:schemas-microsoft-com:office:smarttags" w:element="country-region">
              <w:smartTag w:uri="urn:schemas-microsoft-com:office:smarttags" w:element="place">
                <w:r w:rsidRPr="006010D0">
                  <w:rPr>
                    <w:rFonts w:ascii="Verdana" w:hAnsi="Verdana" w:cs="Arial"/>
                    <w:color w:val="000000"/>
                    <w:sz w:val="20"/>
                    <w:szCs w:val="20"/>
                    <w:lang w:val="en-US"/>
                  </w:rPr>
                  <w:t>Asturias</w:t>
                </w:r>
              </w:smartTag>
            </w:smartTag>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64,7%</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53,0%</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59,9%</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Baleares</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55,5%</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40,5%</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44,3%</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Canarias</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53,0%</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42,5%</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44,0%</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Cantabria</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65,2%</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59,4%</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63,8%</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proofErr w:type="spellStart"/>
            <w:r w:rsidRPr="006010D0">
              <w:rPr>
                <w:rFonts w:ascii="Verdana" w:hAnsi="Verdana" w:cs="Arial"/>
                <w:color w:val="000000"/>
                <w:sz w:val="20"/>
                <w:szCs w:val="20"/>
                <w:lang w:val="en-US"/>
              </w:rPr>
              <w:t>Castilla</w:t>
            </w:r>
            <w:proofErr w:type="spellEnd"/>
            <w:r w:rsidRPr="006010D0">
              <w:rPr>
                <w:rFonts w:ascii="Verdana" w:hAnsi="Verdana" w:cs="Arial"/>
                <w:color w:val="000000"/>
                <w:sz w:val="20"/>
                <w:szCs w:val="20"/>
                <w:lang w:val="en-US"/>
              </w:rPr>
              <w:t xml:space="preserve"> La Mancha</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41,8%</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44,6%</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50,3%</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proofErr w:type="spellStart"/>
            <w:r w:rsidRPr="006010D0">
              <w:rPr>
                <w:rFonts w:ascii="Verdana" w:hAnsi="Verdana" w:cs="Arial"/>
                <w:color w:val="000000"/>
                <w:sz w:val="20"/>
                <w:szCs w:val="20"/>
                <w:lang w:val="en-US"/>
              </w:rPr>
              <w:t>Castilla</w:t>
            </w:r>
            <w:proofErr w:type="spellEnd"/>
            <w:r w:rsidRPr="006010D0">
              <w:rPr>
                <w:rFonts w:ascii="Verdana" w:hAnsi="Verdana" w:cs="Arial"/>
                <w:color w:val="000000"/>
                <w:sz w:val="20"/>
                <w:szCs w:val="20"/>
                <w:lang w:val="en-US"/>
              </w:rPr>
              <w:t xml:space="preserve"> León</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60,7%</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47,7%</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49,8%</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Cataluña</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50,3%</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50,0%</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46,6%</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 xml:space="preserve">C. </w:t>
            </w:r>
            <w:proofErr w:type="spellStart"/>
            <w:r w:rsidRPr="006010D0">
              <w:rPr>
                <w:rFonts w:ascii="Verdana" w:hAnsi="Verdana" w:cs="Arial"/>
                <w:color w:val="000000"/>
                <w:sz w:val="20"/>
                <w:szCs w:val="20"/>
                <w:lang w:val="en-US"/>
              </w:rPr>
              <w:t>Valenciana</w:t>
            </w:r>
            <w:proofErr w:type="spellEnd"/>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47,5%</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46,8%</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42,9%</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Extremadura</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32,0%</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52,8%</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44,1%</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smartTag w:uri="urn:schemas-microsoft-com:office:smarttags" w:element="country-region">
              <w:smartTag w:uri="urn:schemas-microsoft-com:office:smarttags" w:element="place">
                <w:r w:rsidRPr="006010D0">
                  <w:rPr>
                    <w:rFonts w:ascii="Verdana" w:hAnsi="Verdana" w:cs="Arial"/>
                    <w:color w:val="000000"/>
                    <w:sz w:val="20"/>
                    <w:szCs w:val="20"/>
                    <w:lang w:val="en-US"/>
                  </w:rPr>
                  <w:t>Galicia</w:t>
                </w:r>
              </w:smartTag>
            </w:smartTag>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54,9%</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59,5%</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53,2%</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smartTag w:uri="urn:schemas-microsoft-com:office:smarttags" w:element="State">
              <w:smartTag w:uri="urn:schemas-microsoft-com:office:smarttags" w:element="place">
                <w:r w:rsidRPr="006010D0">
                  <w:rPr>
                    <w:rFonts w:ascii="Verdana" w:hAnsi="Verdana" w:cs="Arial"/>
                    <w:color w:val="000000"/>
                    <w:sz w:val="20"/>
                    <w:szCs w:val="20"/>
                    <w:lang w:val="en-US"/>
                  </w:rPr>
                  <w:t>Madrid</w:t>
                </w:r>
              </w:smartTag>
            </w:smartTag>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59,3%</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52,4%</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47,9%</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smartTag w:uri="urn:schemas-microsoft-com:office:smarttags" w:element="country-region">
              <w:smartTag w:uri="urn:schemas-microsoft-com:office:smarttags" w:element="place">
                <w:r w:rsidRPr="006010D0">
                  <w:rPr>
                    <w:rFonts w:ascii="Verdana" w:hAnsi="Verdana" w:cs="Arial"/>
                    <w:color w:val="000000"/>
                    <w:sz w:val="20"/>
                    <w:szCs w:val="20"/>
                    <w:lang w:val="en-US"/>
                  </w:rPr>
                  <w:t>Murcia</w:t>
                </w:r>
              </w:smartTag>
            </w:smartTag>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42,9%</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41,8%</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38,0%</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Navarra</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69,9%</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58,4%</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64,0%</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País Vasco</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60,7%</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56,3%</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51,4%</w:t>
            </w:r>
          </w:p>
        </w:tc>
      </w:tr>
      <w:tr w:rsidR="006010D0" w:rsidRPr="006010D0" w:rsidTr="00111BCB">
        <w:trPr>
          <w:trHeight w:val="300"/>
          <w:jc w:val="center"/>
        </w:trPr>
        <w:tc>
          <w:tcPr>
            <w:tcW w:w="2333" w:type="dxa"/>
            <w:tcBorders>
              <w:top w:val="nil"/>
              <w:left w:val="double" w:sz="4" w:space="0" w:color="auto"/>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La Rioja</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54,3%</w:t>
            </w:r>
          </w:p>
        </w:tc>
        <w:tc>
          <w:tcPr>
            <w:tcW w:w="1091" w:type="dxa"/>
            <w:tcBorders>
              <w:top w:val="nil"/>
              <w:left w:val="nil"/>
              <w:bottom w:val="nil"/>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44,7%</w:t>
            </w:r>
          </w:p>
        </w:tc>
        <w:tc>
          <w:tcPr>
            <w:tcW w:w="1091" w:type="dxa"/>
            <w:tcBorders>
              <w:top w:val="nil"/>
              <w:left w:val="nil"/>
              <w:bottom w:val="nil"/>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54,2%</w:t>
            </w:r>
          </w:p>
        </w:tc>
      </w:tr>
      <w:tr w:rsidR="006010D0" w:rsidRPr="006010D0" w:rsidTr="00111BCB">
        <w:trPr>
          <w:trHeight w:val="300"/>
          <w:jc w:val="center"/>
        </w:trPr>
        <w:tc>
          <w:tcPr>
            <w:tcW w:w="2333" w:type="dxa"/>
            <w:tcBorders>
              <w:top w:val="nil"/>
              <w:left w:val="double" w:sz="4" w:space="0" w:color="auto"/>
              <w:bottom w:val="double" w:sz="4" w:space="0" w:color="auto"/>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Total</w:t>
            </w:r>
          </w:p>
        </w:tc>
        <w:tc>
          <w:tcPr>
            <w:tcW w:w="1091" w:type="dxa"/>
            <w:tcBorders>
              <w:top w:val="nil"/>
              <w:left w:val="nil"/>
              <w:bottom w:val="double" w:sz="4" w:space="0" w:color="auto"/>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54,9%</w:t>
            </w:r>
          </w:p>
        </w:tc>
        <w:tc>
          <w:tcPr>
            <w:tcW w:w="1091" w:type="dxa"/>
            <w:tcBorders>
              <w:top w:val="nil"/>
              <w:left w:val="nil"/>
              <w:bottom w:val="double" w:sz="4" w:space="0" w:color="auto"/>
              <w:right w:val="nil"/>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48,9%</w:t>
            </w:r>
          </w:p>
        </w:tc>
        <w:tc>
          <w:tcPr>
            <w:tcW w:w="1091" w:type="dxa"/>
            <w:tcBorders>
              <w:top w:val="nil"/>
              <w:left w:val="nil"/>
              <w:bottom w:val="double" w:sz="4" w:space="0" w:color="auto"/>
              <w:right w:val="double" w:sz="4" w:space="0" w:color="auto"/>
            </w:tcBorders>
            <w:noWrap/>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s="Arial"/>
                <w:color w:val="000000"/>
                <w:sz w:val="20"/>
                <w:szCs w:val="20"/>
                <w:lang w:val="en-US"/>
              </w:rPr>
              <w:t>47,4%</w:t>
            </w:r>
          </w:p>
        </w:tc>
      </w:tr>
    </w:tbl>
    <w:p w:rsidR="006010D0" w:rsidRPr="006010D0" w:rsidRDefault="006010D0" w:rsidP="006010D0">
      <w:pPr>
        <w:keepNext/>
        <w:keepLines/>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r w:rsidRPr="006010D0">
        <w:rPr>
          <w:rFonts w:ascii="Verdana" w:hAnsi="Verdana"/>
        </w:rPr>
        <w:t xml:space="preserve">El hecho de existir, o no, convenio de empresa o de nivel superior es también un factor importante para analizar los pormenores de la representación de los trabajadores. Respecto a esta variable, observamos en el gráfico 3.4 como el porcentaje de asalariados que responde </w:t>
      </w:r>
      <w:r w:rsidRPr="006010D0">
        <w:rPr>
          <w:rFonts w:ascii="Verdana" w:hAnsi="Verdana"/>
        </w:rPr>
        <w:lastRenderedPageBreak/>
        <w:t>afirmativamente acerca de la existencia de un convenio que regula sus condiciones laborales se sitúa en torno al 40% en 2003, descendiendo hasta el 33,5% en 2007, para situarse de nuevo en niveles similares a los de 2003 siete años después.</w:t>
      </w:r>
    </w:p>
    <w:p w:rsidR="006010D0" w:rsidRPr="006010D0" w:rsidRDefault="006010D0" w:rsidP="006010D0">
      <w:pPr>
        <w:spacing w:line="240" w:lineRule="auto"/>
        <w:jc w:val="both"/>
        <w:rPr>
          <w:rFonts w:ascii="Verdana" w:hAnsi="Verdana"/>
        </w:rPr>
      </w:pPr>
      <w:r w:rsidRPr="006010D0">
        <w:rPr>
          <w:rFonts w:ascii="Verdana" w:hAnsi="Verdana"/>
        </w:rPr>
        <w:t xml:space="preserve">Teniendo en cuenta que el porcentaje de asalariados que responden no saberlo se mueve en valores en torno al 13-25%, todavía estaríamos lejos de los niveles de cobertura de los convenios que figuran en las estadísticas del Ministerio de Empleo y Seguridad Social. Esto nos hace pensar que los encuestados o bien se están refiriendo en sus respuestas sobre todo a la existencia de un convenio de empresa, o bien que aun existiendo convenio colectivo sus condiciones particulares de empleo no se ajustan a éste. Lo cual implica que muchos trabajadores desconocen la existencia de un convenio regulador de nivel superior; o que la eficacia de la negociación colectiva no alcanza los niveles de su cobertura. Tal y como podría esperarse, el conocimiento de la cobertura de los convenios es significativamente mayor entre los asalariados de empresas grandes, aunque en éstas se ha dado un descenso entre los años 2003 y 2010. Sin embargo, la reducción más acusada en este periodo se observa en las empresas entre </w:t>
      </w:r>
      <w:smartTag w:uri="urn:schemas-microsoft-com:office:smarttags" w:element="metricconverter">
        <w:smartTagPr>
          <w:attr w:name="ProductID" w:val="10 a"/>
        </w:smartTagPr>
        <w:r w:rsidRPr="006010D0">
          <w:rPr>
            <w:rFonts w:ascii="Verdana" w:hAnsi="Verdana"/>
          </w:rPr>
          <w:t>10 a</w:t>
        </w:r>
      </w:smartTag>
      <w:r w:rsidRPr="006010D0">
        <w:rPr>
          <w:rFonts w:ascii="Verdana" w:hAnsi="Verdana"/>
        </w:rPr>
        <w:t xml:space="preserve"> 49 trabajadores. </w:t>
      </w:r>
    </w:p>
    <w:p w:rsidR="006010D0" w:rsidRPr="006010D0" w:rsidRDefault="006010D0" w:rsidP="006010D0">
      <w:pPr>
        <w:spacing w:line="240" w:lineRule="auto"/>
        <w:jc w:val="both"/>
        <w:rPr>
          <w:rFonts w:ascii="Verdana" w:hAnsi="Verdana"/>
        </w:rPr>
      </w:pPr>
    </w:p>
    <w:p w:rsidR="006010D0" w:rsidRPr="006010D0" w:rsidRDefault="006010D0" w:rsidP="006010D0">
      <w:pPr>
        <w:keepNext/>
        <w:keepLines/>
        <w:spacing w:line="240" w:lineRule="auto"/>
        <w:jc w:val="center"/>
        <w:rPr>
          <w:rFonts w:ascii="Verdana" w:hAnsi="Verdana"/>
        </w:rPr>
      </w:pPr>
      <w:r w:rsidRPr="006010D0">
        <w:rPr>
          <w:rFonts w:ascii="Verdana" w:hAnsi="Verdana"/>
        </w:rPr>
        <w:t>Gráfico 3.4. Trabajadores que conocen la existencia de un convenio o estatuto de regulación de empresa o nivel superior según el tamaño de la empresa</w:t>
      </w:r>
    </w:p>
    <w:p w:rsidR="006010D0" w:rsidRPr="006010D0" w:rsidRDefault="006010D0" w:rsidP="006010D0">
      <w:pPr>
        <w:keepNext/>
        <w:keepLines/>
        <w:spacing w:line="240" w:lineRule="auto"/>
        <w:jc w:val="center"/>
        <w:rPr>
          <w:rFonts w:ascii="Verdana" w:hAnsi="Verdana"/>
        </w:rPr>
      </w:pPr>
      <w:r w:rsidRPr="006010D0">
        <w:rPr>
          <w:rFonts w:ascii="Verdana" w:hAnsi="Verdana"/>
          <w:noProof/>
          <w:lang w:eastAsia="es-ES"/>
        </w:rPr>
        <w:drawing>
          <wp:inline distT="0" distB="0" distL="0" distR="0" wp14:anchorId="020061B7" wp14:editId="63B16DF7">
            <wp:extent cx="4888230" cy="2602230"/>
            <wp:effectExtent l="19050" t="0" r="7620" b="0"/>
            <wp:docPr id="1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rrowheads="1"/>
                    </pic:cNvPicPr>
                  </pic:nvPicPr>
                  <pic:blipFill>
                    <a:blip r:embed="rId15" cstate="print"/>
                    <a:srcRect/>
                    <a:stretch>
                      <a:fillRect/>
                    </a:stretch>
                  </pic:blipFill>
                  <pic:spPr bwMode="auto">
                    <a:xfrm>
                      <a:off x="0" y="0"/>
                      <a:ext cx="4888230" cy="2602230"/>
                    </a:xfrm>
                    <a:prstGeom prst="rect">
                      <a:avLst/>
                    </a:prstGeom>
                    <a:noFill/>
                    <a:ln w="9525">
                      <a:noFill/>
                      <a:miter lim="800000"/>
                      <a:headEnd/>
                      <a:tailEnd/>
                    </a:ln>
                  </pic:spPr>
                </pic:pic>
              </a:graphicData>
            </a:graphic>
          </wp:inline>
        </w:drawing>
      </w:r>
    </w:p>
    <w:p w:rsidR="006010D0" w:rsidRPr="006010D0" w:rsidRDefault="006010D0" w:rsidP="006010D0">
      <w:pPr>
        <w:keepNext/>
        <w:keepLines/>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sz w:val="24"/>
          <w:szCs w:val="24"/>
        </w:rPr>
      </w:pPr>
    </w:p>
    <w:p w:rsidR="006010D0" w:rsidRPr="006010D0" w:rsidRDefault="006010D0" w:rsidP="006010D0">
      <w:pPr>
        <w:pStyle w:val="Prrafodelista"/>
        <w:spacing w:line="240" w:lineRule="auto"/>
        <w:ind w:left="0"/>
        <w:jc w:val="both"/>
        <w:rPr>
          <w:rFonts w:ascii="Verdana" w:hAnsi="Verdana"/>
          <w:b/>
        </w:rPr>
      </w:pPr>
      <w:r>
        <w:rPr>
          <w:rFonts w:ascii="Verdana" w:hAnsi="Verdana"/>
          <w:b/>
        </w:rPr>
        <w:t>III</w:t>
      </w:r>
      <w:r w:rsidRPr="006010D0">
        <w:rPr>
          <w:rFonts w:ascii="Verdana" w:hAnsi="Verdana"/>
          <w:b/>
        </w:rPr>
        <w:t>.3. Valoración de la representación sindical y de sus funciones en las empresas</w:t>
      </w:r>
    </w:p>
    <w:p w:rsidR="006010D0" w:rsidRPr="006010D0" w:rsidRDefault="006010D0" w:rsidP="006010D0">
      <w:pPr>
        <w:spacing w:line="240" w:lineRule="auto"/>
        <w:jc w:val="both"/>
        <w:rPr>
          <w:rFonts w:ascii="Verdana" w:hAnsi="Verdana"/>
        </w:rPr>
      </w:pPr>
      <w:r w:rsidRPr="006010D0">
        <w:rPr>
          <w:rFonts w:ascii="Verdana" w:hAnsi="Verdana"/>
        </w:rPr>
        <w:t xml:space="preserve">La valoración de la representación sindical y de su función en la empresa la realizaremos también a partir de dos variables. En primer lugar, la valoración de la representación sindical en la empresa y, en segundo lugar, </w:t>
      </w:r>
      <w:r w:rsidRPr="006010D0">
        <w:rPr>
          <w:rFonts w:ascii="Verdana" w:hAnsi="Verdana"/>
        </w:rPr>
        <w:lastRenderedPageBreak/>
        <w:t xml:space="preserve">la percepción de los encuestados sobre el convenio colectivo o estatuto de regulación que determina sus condiciones de empleo. </w:t>
      </w:r>
    </w:p>
    <w:p w:rsidR="006010D0" w:rsidRPr="006010D0" w:rsidRDefault="006010D0" w:rsidP="006010D0">
      <w:pPr>
        <w:spacing w:line="240" w:lineRule="auto"/>
        <w:jc w:val="both"/>
        <w:rPr>
          <w:rFonts w:ascii="Verdana" w:hAnsi="Verdana"/>
        </w:rPr>
      </w:pPr>
      <w:r w:rsidRPr="006010D0">
        <w:rPr>
          <w:rFonts w:ascii="Verdana" w:hAnsi="Verdana"/>
        </w:rPr>
        <w:t>Cuando se valora la actividad de los sindicatos en la empresa por medio de la variable referida a la satisfacción sobre la representación y defensa de los intereses por parte de los sindicatos, es necesario tener en cuenta las diferencias en los cuestionarios de 2001 con respecto a 2007 y 2010. Así, mientras en 2001 la pregunta referida a este aspecto valora la afirmación “tengo buena opinión de mis delegados de personal o representantes del comité de empresa o junta de personal”, en las encuestas de 2007 y 2010, la pregunta se centra más en el aspecto institucional y sus efectos, por ello en este caso se interroga del siguiente modo: “valore la representación y defensa de sus intereses por los sindicatos”. Por lo tanto, no son exactamente comparables los datos de 2001 con los de 2007 y 2010.</w:t>
      </w:r>
    </w:p>
    <w:p w:rsidR="006010D0" w:rsidRPr="006010D0" w:rsidRDefault="006010D0" w:rsidP="006010D0">
      <w:pPr>
        <w:spacing w:line="240" w:lineRule="auto"/>
        <w:jc w:val="both"/>
        <w:rPr>
          <w:rFonts w:ascii="Verdana" w:hAnsi="Verdana"/>
        </w:rPr>
      </w:pPr>
      <w:r w:rsidRPr="006010D0">
        <w:rPr>
          <w:rFonts w:ascii="Verdana" w:hAnsi="Verdana"/>
        </w:rPr>
        <w:t xml:space="preserve">Antes de analizar la valoración que hacen los trabajadores de la representación sindical teniendo en cuenta algunas características sociodemográficas de los trabajadores tales como edad, sexo etc., hay que valorar la relación entre el conocimiento sobre la actividad sindical y la valoración que se hace ella. Las tablas 3.12 y 3.13 asocian estas dos variables para los años 2007 y 2010. Como puede observarse, en general se cumple la relación esperada entre el nivel de conocimiento y la valoración que se hace de la actividad sindical. Los mayores porcentajes se sitúan en la diagonal de las tablas, indicando una consistencia en la respuesta de los encuestados. Sin embargo, no deja de llamar la atención el alto porcentaje de trabajadores que declara tener poco o nulo conocimiento de la actividad sindical (44,7% en 2007 y 53,4% en 2010). Hecho aún más remarcable si se tiene en cuenta que un gran porcentaje de los que declaran tener un conocimiento nulo o bajo de la actividad sindical hacen una valoración negativa de la representación sindical en la empresa. </w:t>
      </w:r>
    </w:p>
    <w:p w:rsidR="006010D0" w:rsidRPr="006010D0" w:rsidRDefault="006010D0" w:rsidP="006010D0">
      <w:pPr>
        <w:spacing w:line="240" w:lineRule="auto"/>
        <w:jc w:val="both"/>
        <w:rPr>
          <w:rFonts w:ascii="Verdana" w:hAnsi="Verdana"/>
        </w:rPr>
      </w:pPr>
      <w:r w:rsidRPr="006010D0">
        <w:rPr>
          <w:rFonts w:ascii="Verdana" w:hAnsi="Verdana"/>
        </w:rPr>
        <w:t xml:space="preserve">Las diferencias más significativas entre 2007 y 2010 se refieren en primer lugar a un aumento en el porcentaje de trabajadores que declaran tener un bajo conocimiento de la actividad sindical. Sin embargo, este aumento no se ha reflejado en un aumento de la valoración negativa de la representación sindical entre los años considerados. De hecho, entre 2007 y </w:t>
      </w:r>
      <w:smartTag w:uri="urn:schemas-microsoft-com:office:smarttags" w:element="metricconverter">
        <w:smartTagPr>
          <w:attr w:name="ProductID" w:val="2010 ha"/>
        </w:smartTagPr>
        <w:r w:rsidRPr="006010D0">
          <w:rPr>
            <w:rFonts w:ascii="Verdana" w:hAnsi="Verdana"/>
          </w:rPr>
          <w:t>2010 ha</w:t>
        </w:r>
      </w:smartTag>
      <w:r w:rsidRPr="006010D0">
        <w:rPr>
          <w:rFonts w:ascii="Verdana" w:hAnsi="Verdana"/>
        </w:rPr>
        <w:t xml:space="preserve"> habido un aumento de la valoración media que se hace de la representación sindical.</w:t>
      </w:r>
    </w:p>
    <w:p w:rsidR="006010D0" w:rsidRPr="006010D0" w:rsidRDefault="006010D0" w:rsidP="006010D0">
      <w:pPr>
        <w:spacing w:line="240" w:lineRule="auto"/>
        <w:jc w:val="center"/>
        <w:rPr>
          <w:rFonts w:ascii="Verdana" w:hAnsi="Verdana"/>
          <w:sz w:val="18"/>
          <w:szCs w:val="18"/>
        </w:rPr>
      </w:pPr>
      <w:r w:rsidRPr="006010D0">
        <w:rPr>
          <w:rFonts w:ascii="Verdana" w:hAnsi="Verdana"/>
          <w:sz w:val="18"/>
          <w:szCs w:val="18"/>
        </w:rPr>
        <w:t>Tabla 3.12. Distribución de los trabajadores según conocimiento y valoración de la actividad sindical en 2007 (en %)</w:t>
      </w:r>
    </w:p>
    <w:tbl>
      <w:tblPr>
        <w:tblW w:w="7603" w:type="dxa"/>
        <w:jc w:val="center"/>
        <w:tblInd w:w="70"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A0" w:firstRow="1" w:lastRow="0" w:firstColumn="1" w:lastColumn="0" w:noHBand="0" w:noVBand="0"/>
      </w:tblPr>
      <w:tblGrid>
        <w:gridCol w:w="1649"/>
        <w:gridCol w:w="1832"/>
        <w:gridCol w:w="1542"/>
        <w:gridCol w:w="1536"/>
        <w:gridCol w:w="1044"/>
      </w:tblGrid>
      <w:tr w:rsidR="006010D0" w:rsidRPr="006010D0" w:rsidTr="00111BCB">
        <w:trPr>
          <w:trHeight w:val="300"/>
          <w:jc w:val="center"/>
        </w:trPr>
        <w:tc>
          <w:tcPr>
            <w:tcW w:w="1649" w:type="dxa"/>
            <w:tcBorders>
              <w:top w:val="double" w:sz="4" w:space="0" w:color="auto"/>
              <w:left w:val="double" w:sz="4" w:space="0" w:color="auto"/>
              <w:bottom w:val="nil"/>
              <w:right w:val="nil"/>
            </w:tcBorders>
            <w:noWrap/>
            <w:vAlign w:val="bottom"/>
          </w:tcPr>
          <w:p w:rsidR="006010D0" w:rsidRPr="006010D0" w:rsidRDefault="006010D0" w:rsidP="006010D0">
            <w:pPr>
              <w:spacing w:line="240" w:lineRule="auto"/>
              <w:rPr>
                <w:rFonts w:ascii="Verdana" w:hAnsi="Verdana" w:cs="Calibri"/>
                <w:color w:val="000000"/>
                <w:sz w:val="20"/>
                <w:szCs w:val="20"/>
                <w:lang w:eastAsia="es-ES"/>
              </w:rPr>
            </w:pPr>
          </w:p>
        </w:tc>
        <w:tc>
          <w:tcPr>
            <w:tcW w:w="1832" w:type="dxa"/>
            <w:tcBorders>
              <w:top w:val="double" w:sz="4" w:space="0" w:color="auto"/>
              <w:left w:val="nil"/>
              <w:bottom w:val="nil"/>
              <w:right w:val="nil"/>
            </w:tcBorders>
            <w:noWrap/>
            <w:vAlign w:val="bottom"/>
          </w:tcPr>
          <w:p w:rsidR="006010D0" w:rsidRPr="006010D0" w:rsidRDefault="006010D0" w:rsidP="006010D0">
            <w:pPr>
              <w:spacing w:line="240" w:lineRule="auto"/>
              <w:jc w:val="right"/>
              <w:rPr>
                <w:rFonts w:ascii="Verdana" w:hAnsi="Verdana" w:cs="Calibri"/>
                <w:b/>
                <w:color w:val="000000"/>
                <w:sz w:val="20"/>
                <w:szCs w:val="20"/>
                <w:lang w:val="en-US" w:eastAsia="es-ES"/>
              </w:rPr>
            </w:pPr>
            <w:proofErr w:type="spellStart"/>
            <w:r w:rsidRPr="006010D0">
              <w:rPr>
                <w:rFonts w:ascii="Verdana" w:hAnsi="Verdana" w:cs="Calibri"/>
                <w:b/>
                <w:color w:val="000000"/>
                <w:sz w:val="20"/>
                <w:szCs w:val="20"/>
                <w:lang w:val="en-US" w:eastAsia="es-ES"/>
              </w:rPr>
              <w:t>Poco</w:t>
            </w:r>
            <w:proofErr w:type="spellEnd"/>
            <w:r w:rsidRPr="006010D0">
              <w:rPr>
                <w:rFonts w:ascii="Verdana" w:hAnsi="Verdana" w:cs="Calibri"/>
                <w:b/>
                <w:color w:val="000000"/>
                <w:sz w:val="20"/>
                <w:szCs w:val="20"/>
                <w:lang w:val="en-US" w:eastAsia="es-ES"/>
              </w:rPr>
              <w:t xml:space="preserve"> o nada </w:t>
            </w:r>
            <w:proofErr w:type="spellStart"/>
            <w:r w:rsidRPr="006010D0">
              <w:rPr>
                <w:rFonts w:ascii="Verdana" w:hAnsi="Verdana" w:cs="Calibri"/>
                <w:b/>
                <w:color w:val="000000"/>
                <w:sz w:val="20"/>
                <w:szCs w:val="20"/>
                <w:lang w:val="en-US" w:eastAsia="es-ES"/>
              </w:rPr>
              <w:t>satisfecho</w:t>
            </w:r>
            <w:proofErr w:type="spellEnd"/>
          </w:p>
        </w:tc>
        <w:tc>
          <w:tcPr>
            <w:tcW w:w="1542" w:type="dxa"/>
            <w:tcBorders>
              <w:top w:val="double" w:sz="4" w:space="0" w:color="auto"/>
              <w:left w:val="nil"/>
              <w:bottom w:val="nil"/>
              <w:right w:val="nil"/>
            </w:tcBorders>
            <w:noWrap/>
            <w:vAlign w:val="bottom"/>
          </w:tcPr>
          <w:p w:rsidR="006010D0" w:rsidRPr="006010D0" w:rsidRDefault="006010D0" w:rsidP="006010D0">
            <w:pPr>
              <w:spacing w:line="240" w:lineRule="auto"/>
              <w:jc w:val="right"/>
              <w:rPr>
                <w:rFonts w:ascii="Verdana" w:hAnsi="Verdana" w:cs="Calibri"/>
                <w:b/>
                <w:color w:val="000000"/>
                <w:sz w:val="20"/>
                <w:szCs w:val="20"/>
                <w:lang w:val="en-US" w:eastAsia="es-ES"/>
              </w:rPr>
            </w:pPr>
            <w:proofErr w:type="spellStart"/>
            <w:r w:rsidRPr="006010D0">
              <w:rPr>
                <w:rFonts w:ascii="Verdana" w:hAnsi="Verdana" w:cs="Calibri"/>
                <w:b/>
                <w:color w:val="000000"/>
                <w:sz w:val="20"/>
                <w:szCs w:val="20"/>
                <w:lang w:val="en-US" w:eastAsia="es-ES"/>
              </w:rPr>
              <w:t>Satisfecho</w:t>
            </w:r>
            <w:proofErr w:type="spellEnd"/>
          </w:p>
        </w:tc>
        <w:tc>
          <w:tcPr>
            <w:tcW w:w="1536" w:type="dxa"/>
            <w:tcBorders>
              <w:top w:val="double" w:sz="4" w:space="0" w:color="auto"/>
              <w:left w:val="nil"/>
              <w:bottom w:val="nil"/>
              <w:right w:val="nil"/>
            </w:tcBorders>
            <w:noWrap/>
            <w:vAlign w:val="bottom"/>
          </w:tcPr>
          <w:p w:rsidR="006010D0" w:rsidRPr="006010D0" w:rsidRDefault="006010D0" w:rsidP="006010D0">
            <w:pPr>
              <w:spacing w:line="240" w:lineRule="auto"/>
              <w:jc w:val="right"/>
              <w:rPr>
                <w:rFonts w:ascii="Verdana" w:hAnsi="Verdana" w:cs="Calibri"/>
                <w:b/>
                <w:color w:val="000000"/>
                <w:sz w:val="20"/>
                <w:szCs w:val="20"/>
                <w:lang w:val="en-US" w:eastAsia="es-ES"/>
              </w:rPr>
            </w:pPr>
            <w:proofErr w:type="spellStart"/>
            <w:r w:rsidRPr="006010D0">
              <w:rPr>
                <w:rFonts w:ascii="Verdana" w:hAnsi="Verdana" w:cs="Calibri"/>
                <w:b/>
                <w:color w:val="000000"/>
                <w:sz w:val="20"/>
                <w:szCs w:val="20"/>
                <w:lang w:val="en-US" w:eastAsia="es-ES"/>
              </w:rPr>
              <w:t>Bastante</w:t>
            </w:r>
            <w:proofErr w:type="spellEnd"/>
            <w:r w:rsidRPr="006010D0">
              <w:rPr>
                <w:rFonts w:ascii="Verdana" w:hAnsi="Verdana" w:cs="Calibri"/>
                <w:b/>
                <w:color w:val="000000"/>
                <w:sz w:val="20"/>
                <w:szCs w:val="20"/>
                <w:lang w:val="en-US" w:eastAsia="es-ES"/>
              </w:rPr>
              <w:t xml:space="preserve"> y </w:t>
            </w:r>
            <w:proofErr w:type="spellStart"/>
            <w:r w:rsidRPr="006010D0">
              <w:rPr>
                <w:rFonts w:ascii="Verdana" w:hAnsi="Verdana" w:cs="Calibri"/>
                <w:b/>
                <w:color w:val="000000"/>
                <w:sz w:val="20"/>
                <w:szCs w:val="20"/>
                <w:lang w:val="en-US" w:eastAsia="es-ES"/>
              </w:rPr>
              <w:t>muy</w:t>
            </w:r>
            <w:proofErr w:type="spellEnd"/>
            <w:r w:rsidRPr="006010D0">
              <w:rPr>
                <w:rFonts w:ascii="Verdana" w:hAnsi="Verdana" w:cs="Calibri"/>
                <w:b/>
                <w:color w:val="000000"/>
                <w:sz w:val="20"/>
                <w:szCs w:val="20"/>
                <w:lang w:val="en-US" w:eastAsia="es-ES"/>
              </w:rPr>
              <w:t xml:space="preserve"> </w:t>
            </w:r>
            <w:proofErr w:type="spellStart"/>
            <w:r w:rsidRPr="006010D0">
              <w:rPr>
                <w:rFonts w:ascii="Verdana" w:hAnsi="Verdana" w:cs="Calibri"/>
                <w:b/>
                <w:color w:val="000000"/>
                <w:sz w:val="20"/>
                <w:szCs w:val="20"/>
                <w:lang w:val="en-US" w:eastAsia="es-ES"/>
              </w:rPr>
              <w:t>satisfecho</w:t>
            </w:r>
            <w:proofErr w:type="spellEnd"/>
          </w:p>
        </w:tc>
        <w:tc>
          <w:tcPr>
            <w:tcW w:w="1044" w:type="dxa"/>
            <w:tcBorders>
              <w:top w:val="double" w:sz="4" w:space="0" w:color="auto"/>
              <w:left w:val="nil"/>
              <w:bottom w:val="nil"/>
              <w:right w:val="double" w:sz="4" w:space="0" w:color="auto"/>
            </w:tcBorders>
            <w:noWrap/>
            <w:vAlign w:val="bottom"/>
          </w:tcPr>
          <w:p w:rsidR="006010D0" w:rsidRPr="006010D0" w:rsidRDefault="006010D0" w:rsidP="006010D0">
            <w:pPr>
              <w:spacing w:line="240" w:lineRule="auto"/>
              <w:jc w:val="right"/>
              <w:rPr>
                <w:rFonts w:ascii="Verdana" w:hAnsi="Verdana" w:cs="Calibri"/>
                <w:b/>
                <w:color w:val="000000"/>
                <w:sz w:val="20"/>
                <w:szCs w:val="20"/>
                <w:lang w:val="en-US" w:eastAsia="es-ES"/>
              </w:rPr>
            </w:pPr>
            <w:r w:rsidRPr="006010D0">
              <w:rPr>
                <w:rFonts w:ascii="Verdana" w:hAnsi="Verdana" w:cs="Calibri"/>
                <w:b/>
                <w:color w:val="000000"/>
                <w:sz w:val="20"/>
                <w:szCs w:val="20"/>
                <w:lang w:val="en-US" w:eastAsia="es-ES"/>
              </w:rPr>
              <w:t>Total</w:t>
            </w:r>
          </w:p>
        </w:tc>
      </w:tr>
      <w:tr w:rsidR="006010D0" w:rsidRPr="006010D0" w:rsidTr="00111BCB">
        <w:trPr>
          <w:trHeight w:val="300"/>
          <w:jc w:val="center"/>
        </w:trPr>
        <w:tc>
          <w:tcPr>
            <w:tcW w:w="1649" w:type="dxa"/>
            <w:tcBorders>
              <w:top w:val="nil"/>
              <w:left w:val="double" w:sz="4" w:space="0" w:color="auto"/>
              <w:bottom w:val="nil"/>
              <w:right w:val="nil"/>
            </w:tcBorders>
            <w:noWrap/>
            <w:vAlign w:val="bottom"/>
          </w:tcPr>
          <w:p w:rsidR="006010D0" w:rsidRPr="006010D0" w:rsidRDefault="006010D0" w:rsidP="006010D0">
            <w:pPr>
              <w:spacing w:line="240" w:lineRule="auto"/>
              <w:rPr>
                <w:rFonts w:ascii="Verdana" w:hAnsi="Verdana" w:cs="Calibri"/>
                <w:color w:val="000000"/>
                <w:sz w:val="20"/>
                <w:szCs w:val="20"/>
                <w:lang w:val="en-US" w:eastAsia="es-ES"/>
              </w:rPr>
            </w:pPr>
            <w:proofErr w:type="spellStart"/>
            <w:r w:rsidRPr="006010D0">
              <w:rPr>
                <w:rFonts w:ascii="Verdana" w:hAnsi="Verdana" w:cs="Calibri"/>
                <w:color w:val="000000"/>
                <w:sz w:val="20"/>
                <w:szCs w:val="20"/>
                <w:lang w:val="en-US" w:eastAsia="es-ES"/>
              </w:rPr>
              <w:t>Poco</w:t>
            </w:r>
            <w:proofErr w:type="spellEnd"/>
            <w:r w:rsidRPr="006010D0">
              <w:rPr>
                <w:rFonts w:ascii="Verdana" w:hAnsi="Verdana" w:cs="Calibri"/>
                <w:color w:val="000000"/>
                <w:sz w:val="20"/>
                <w:szCs w:val="20"/>
                <w:lang w:val="en-US" w:eastAsia="es-ES"/>
              </w:rPr>
              <w:t xml:space="preserve"> o nada </w:t>
            </w:r>
          </w:p>
        </w:tc>
        <w:tc>
          <w:tcPr>
            <w:tcW w:w="1832"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19,5</w:t>
            </w:r>
          </w:p>
        </w:tc>
        <w:tc>
          <w:tcPr>
            <w:tcW w:w="1542"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6,8</w:t>
            </w:r>
          </w:p>
        </w:tc>
        <w:tc>
          <w:tcPr>
            <w:tcW w:w="1536"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2,8</w:t>
            </w:r>
          </w:p>
        </w:tc>
        <w:tc>
          <w:tcPr>
            <w:tcW w:w="1044" w:type="dxa"/>
            <w:tcBorders>
              <w:top w:val="nil"/>
              <w:left w:val="nil"/>
              <w:bottom w:val="nil"/>
              <w:right w:val="double" w:sz="4" w:space="0" w:color="auto"/>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29,1</w:t>
            </w:r>
          </w:p>
        </w:tc>
      </w:tr>
      <w:tr w:rsidR="006010D0" w:rsidRPr="006010D0" w:rsidTr="00111BCB">
        <w:trPr>
          <w:trHeight w:val="300"/>
          <w:jc w:val="center"/>
        </w:trPr>
        <w:tc>
          <w:tcPr>
            <w:tcW w:w="1649" w:type="dxa"/>
            <w:tcBorders>
              <w:top w:val="nil"/>
              <w:left w:val="double" w:sz="4" w:space="0" w:color="auto"/>
              <w:bottom w:val="nil"/>
              <w:right w:val="nil"/>
            </w:tcBorders>
            <w:noWrap/>
            <w:vAlign w:val="bottom"/>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Regular</w:t>
            </w:r>
          </w:p>
        </w:tc>
        <w:tc>
          <w:tcPr>
            <w:tcW w:w="1832"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11,1</w:t>
            </w:r>
          </w:p>
        </w:tc>
        <w:tc>
          <w:tcPr>
            <w:tcW w:w="1542"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19,9</w:t>
            </w:r>
          </w:p>
        </w:tc>
        <w:tc>
          <w:tcPr>
            <w:tcW w:w="1536"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10,1</w:t>
            </w:r>
          </w:p>
        </w:tc>
        <w:tc>
          <w:tcPr>
            <w:tcW w:w="1044" w:type="dxa"/>
            <w:tcBorders>
              <w:top w:val="nil"/>
              <w:left w:val="nil"/>
              <w:bottom w:val="nil"/>
              <w:right w:val="double" w:sz="4" w:space="0" w:color="auto"/>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41,1</w:t>
            </w:r>
          </w:p>
        </w:tc>
      </w:tr>
      <w:tr w:rsidR="006010D0" w:rsidRPr="006010D0" w:rsidTr="00111BCB">
        <w:trPr>
          <w:trHeight w:val="300"/>
          <w:jc w:val="center"/>
        </w:trPr>
        <w:tc>
          <w:tcPr>
            <w:tcW w:w="1649" w:type="dxa"/>
            <w:tcBorders>
              <w:top w:val="nil"/>
              <w:left w:val="double" w:sz="4" w:space="0" w:color="auto"/>
              <w:bottom w:val="nil"/>
              <w:right w:val="nil"/>
            </w:tcBorders>
            <w:noWrap/>
            <w:vAlign w:val="bottom"/>
          </w:tcPr>
          <w:p w:rsidR="006010D0" w:rsidRPr="006010D0" w:rsidRDefault="006010D0" w:rsidP="006010D0">
            <w:pPr>
              <w:spacing w:line="240" w:lineRule="auto"/>
              <w:rPr>
                <w:rFonts w:ascii="Verdana" w:hAnsi="Verdana" w:cs="Calibri"/>
                <w:color w:val="000000"/>
                <w:sz w:val="20"/>
                <w:szCs w:val="20"/>
                <w:lang w:val="en-US" w:eastAsia="es-ES"/>
              </w:rPr>
            </w:pPr>
            <w:proofErr w:type="spellStart"/>
            <w:r w:rsidRPr="006010D0">
              <w:rPr>
                <w:rFonts w:ascii="Verdana" w:hAnsi="Verdana" w:cs="Calibri"/>
                <w:color w:val="000000"/>
                <w:sz w:val="20"/>
                <w:szCs w:val="20"/>
                <w:lang w:val="en-US" w:eastAsia="es-ES"/>
              </w:rPr>
              <w:t>Bastante</w:t>
            </w:r>
            <w:proofErr w:type="spellEnd"/>
            <w:r w:rsidRPr="006010D0">
              <w:rPr>
                <w:rFonts w:ascii="Verdana" w:hAnsi="Verdana" w:cs="Calibri"/>
                <w:color w:val="000000"/>
                <w:sz w:val="20"/>
                <w:szCs w:val="20"/>
                <w:lang w:val="en-US" w:eastAsia="es-ES"/>
              </w:rPr>
              <w:t xml:space="preserve"> y mucho</w:t>
            </w:r>
          </w:p>
        </w:tc>
        <w:tc>
          <w:tcPr>
            <w:tcW w:w="1832"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5,8</w:t>
            </w:r>
          </w:p>
        </w:tc>
        <w:tc>
          <w:tcPr>
            <w:tcW w:w="1542"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8,4</w:t>
            </w:r>
          </w:p>
        </w:tc>
        <w:tc>
          <w:tcPr>
            <w:tcW w:w="1536"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15,5</w:t>
            </w:r>
          </w:p>
        </w:tc>
        <w:tc>
          <w:tcPr>
            <w:tcW w:w="1044" w:type="dxa"/>
            <w:tcBorders>
              <w:top w:val="nil"/>
              <w:left w:val="nil"/>
              <w:bottom w:val="nil"/>
              <w:right w:val="double" w:sz="4" w:space="0" w:color="auto"/>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29,8</w:t>
            </w:r>
          </w:p>
        </w:tc>
      </w:tr>
      <w:tr w:rsidR="006010D0" w:rsidRPr="006010D0" w:rsidTr="00111BCB">
        <w:trPr>
          <w:trHeight w:val="300"/>
          <w:jc w:val="center"/>
        </w:trPr>
        <w:tc>
          <w:tcPr>
            <w:tcW w:w="1649" w:type="dxa"/>
            <w:tcBorders>
              <w:top w:val="nil"/>
              <w:left w:val="double" w:sz="4" w:space="0" w:color="auto"/>
              <w:bottom w:val="double" w:sz="4" w:space="0" w:color="auto"/>
              <w:right w:val="nil"/>
            </w:tcBorders>
            <w:noWrap/>
            <w:vAlign w:val="bottom"/>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Total</w:t>
            </w:r>
          </w:p>
        </w:tc>
        <w:tc>
          <w:tcPr>
            <w:tcW w:w="1832" w:type="dxa"/>
            <w:tcBorders>
              <w:top w:val="nil"/>
              <w:left w:val="nil"/>
              <w:bottom w:val="double" w:sz="4" w:space="0" w:color="auto"/>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36,5</w:t>
            </w:r>
          </w:p>
        </w:tc>
        <w:tc>
          <w:tcPr>
            <w:tcW w:w="1542" w:type="dxa"/>
            <w:tcBorders>
              <w:top w:val="nil"/>
              <w:left w:val="nil"/>
              <w:bottom w:val="double" w:sz="4" w:space="0" w:color="auto"/>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35,1</w:t>
            </w:r>
          </w:p>
        </w:tc>
        <w:tc>
          <w:tcPr>
            <w:tcW w:w="1536" w:type="dxa"/>
            <w:tcBorders>
              <w:top w:val="nil"/>
              <w:left w:val="nil"/>
              <w:bottom w:val="double" w:sz="4" w:space="0" w:color="auto"/>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28,4</w:t>
            </w:r>
          </w:p>
        </w:tc>
        <w:tc>
          <w:tcPr>
            <w:tcW w:w="1044" w:type="dxa"/>
            <w:tcBorders>
              <w:top w:val="nil"/>
              <w:left w:val="nil"/>
              <w:bottom w:val="double" w:sz="4" w:space="0" w:color="auto"/>
              <w:right w:val="double" w:sz="4" w:space="0" w:color="auto"/>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100,0</w:t>
            </w:r>
          </w:p>
        </w:tc>
      </w:tr>
    </w:tbl>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center"/>
        <w:rPr>
          <w:rFonts w:ascii="Verdana" w:hAnsi="Verdana"/>
        </w:rPr>
      </w:pPr>
      <w:r w:rsidRPr="006010D0">
        <w:rPr>
          <w:rFonts w:ascii="Verdana" w:hAnsi="Verdana"/>
        </w:rPr>
        <w:t>Tabla 3.13. Distribución de los trabajadores según conocimiento y valoración de la actividad sindical en 2010 (en %)</w:t>
      </w:r>
    </w:p>
    <w:tbl>
      <w:tblPr>
        <w:tblW w:w="7615" w:type="dxa"/>
        <w:jc w:val="center"/>
        <w:tblInd w:w="468"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A0" w:firstRow="1" w:lastRow="0" w:firstColumn="1" w:lastColumn="0" w:noHBand="0" w:noVBand="0"/>
      </w:tblPr>
      <w:tblGrid>
        <w:gridCol w:w="1636"/>
        <w:gridCol w:w="1758"/>
        <w:gridCol w:w="1386"/>
        <w:gridCol w:w="1701"/>
        <w:gridCol w:w="1134"/>
      </w:tblGrid>
      <w:tr w:rsidR="006010D0" w:rsidRPr="006010D0" w:rsidTr="00111BCB">
        <w:trPr>
          <w:trHeight w:val="300"/>
          <w:jc w:val="center"/>
        </w:trPr>
        <w:tc>
          <w:tcPr>
            <w:tcW w:w="1636" w:type="dxa"/>
            <w:tcBorders>
              <w:top w:val="double" w:sz="4" w:space="0" w:color="auto"/>
              <w:left w:val="double" w:sz="4" w:space="0" w:color="auto"/>
              <w:bottom w:val="nil"/>
              <w:right w:val="nil"/>
            </w:tcBorders>
            <w:noWrap/>
            <w:vAlign w:val="bottom"/>
          </w:tcPr>
          <w:p w:rsidR="006010D0" w:rsidRPr="006010D0" w:rsidRDefault="006010D0" w:rsidP="006010D0">
            <w:pPr>
              <w:spacing w:line="240" w:lineRule="auto"/>
              <w:rPr>
                <w:rFonts w:ascii="Verdana" w:hAnsi="Verdana" w:cs="Calibri"/>
                <w:color w:val="000000"/>
                <w:sz w:val="20"/>
                <w:szCs w:val="20"/>
                <w:lang w:eastAsia="es-ES"/>
              </w:rPr>
            </w:pPr>
          </w:p>
        </w:tc>
        <w:tc>
          <w:tcPr>
            <w:tcW w:w="1758" w:type="dxa"/>
            <w:tcBorders>
              <w:top w:val="double" w:sz="4" w:space="0" w:color="auto"/>
              <w:left w:val="nil"/>
              <w:bottom w:val="nil"/>
              <w:right w:val="nil"/>
            </w:tcBorders>
            <w:noWrap/>
            <w:vAlign w:val="bottom"/>
          </w:tcPr>
          <w:p w:rsidR="006010D0" w:rsidRPr="006010D0" w:rsidRDefault="006010D0" w:rsidP="006010D0">
            <w:pPr>
              <w:spacing w:line="240" w:lineRule="auto"/>
              <w:jc w:val="right"/>
              <w:rPr>
                <w:rFonts w:ascii="Verdana" w:hAnsi="Verdana" w:cs="Calibri"/>
                <w:b/>
                <w:color w:val="000000"/>
                <w:sz w:val="20"/>
                <w:szCs w:val="20"/>
                <w:lang w:val="en-US" w:eastAsia="es-ES"/>
              </w:rPr>
            </w:pPr>
            <w:proofErr w:type="spellStart"/>
            <w:r w:rsidRPr="006010D0">
              <w:rPr>
                <w:rFonts w:ascii="Verdana" w:hAnsi="Verdana" w:cs="Calibri"/>
                <w:b/>
                <w:color w:val="000000"/>
                <w:sz w:val="20"/>
                <w:szCs w:val="20"/>
                <w:lang w:val="en-US" w:eastAsia="es-ES"/>
              </w:rPr>
              <w:t>Poco</w:t>
            </w:r>
            <w:proofErr w:type="spellEnd"/>
            <w:r w:rsidRPr="006010D0">
              <w:rPr>
                <w:rFonts w:ascii="Verdana" w:hAnsi="Verdana" w:cs="Calibri"/>
                <w:b/>
                <w:color w:val="000000"/>
                <w:sz w:val="20"/>
                <w:szCs w:val="20"/>
                <w:lang w:val="en-US" w:eastAsia="es-ES"/>
              </w:rPr>
              <w:t xml:space="preserve"> o nada </w:t>
            </w:r>
            <w:proofErr w:type="spellStart"/>
            <w:r w:rsidRPr="006010D0">
              <w:rPr>
                <w:rFonts w:ascii="Verdana" w:hAnsi="Verdana" w:cs="Calibri"/>
                <w:b/>
                <w:color w:val="000000"/>
                <w:sz w:val="20"/>
                <w:szCs w:val="20"/>
                <w:lang w:val="en-US" w:eastAsia="es-ES"/>
              </w:rPr>
              <w:t>satisfecho</w:t>
            </w:r>
            <w:proofErr w:type="spellEnd"/>
          </w:p>
        </w:tc>
        <w:tc>
          <w:tcPr>
            <w:tcW w:w="1386" w:type="dxa"/>
            <w:tcBorders>
              <w:top w:val="double" w:sz="4" w:space="0" w:color="auto"/>
              <w:left w:val="nil"/>
              <w:bottom w:val="nil"/>
              <w:right w:val="nil"/>
            </w:tcBorders>
            <w:noWrap/>
            <w:vAlign w:val="bottom"/>
          </w:tcPr>
          <w:p w:rsidR="006010D0" w:rsidRPr="006010D0" w:rsidRDefault="006010D0" w:rsidP="006010D0">
            <w:pPr>
              <w:spacing w:line="240" w:lineRule="auto"/>
              <w:jc w:val="right"/>
              <w:rPr>
                <w:rFonts w:ascii="Verdana" w:hAnsi="Verdana" w:cs="Calibri"/>
                <w:b/>
                <w:color w:val="000000"/>
                <w:sz w:val="20"/>
                <w:szCs w:val="20"/>
                <w:lang w:val="en-US" w:eastAsia="es-ES"/>
              </w:rPr>
            </w:pPr>
            <w:proofErr w:type="spellStart"/>
            <w:r w:rsidRPr="006010D0">
              <w:rPr>
                <w:rFonts w:ascii="Verdana" w:hAnsi="Verdana" w:cs="Calibri"/>
                <w:b/>
                <w:color w:val="000000"/>
                <w:sz w:val="20"/>
                <w:szCs w:val="20"/>
                <w:lang w:val="en-US" w:eastAsia="es-ES"/>
              </w:rPr>
              <w:t>Satisfecho</w:t>
            </w:r>
            <w:proofErr w:type="spellEnd"/>
          </w:p>
        </w:tc>
        <w:tc>
          <w:tcPr>
            <w:tcW w:w="1701" w:type="dxa"/>
            <w:tcBorders>
              <w:top w:val="double" w:sz="4" w:space="0" w:color="auto"/>
              <w:left w:val="nil"/>
              <w:bottom w:val="nil"/>
              <w:right w:val="nil"/>
            </w:tcBorders>
            <w:noWrap/>
            <w:vAlign w:val="bottom"/>
          </w:tcPr>
          <w:p w:rsidR="006010D0" w:rsidRPr="006010D0" w:rsidRDefault="006010D0" w:rsidP="006010D0">
            <w:pPr>
              <w:spacing w:line="240" w:lineRule="auto"/>
              <w:jc w:val="right"/>
              <w:rPr>
                <w:rFonts w:ascii="Verdana" w:hAnsi="Verdana" w:cs="Calibri"/>
                <w:b/>
                <w:color w:val="000000"/>
                <w:sz w:val="20"/>
                <w:szCs w:val="20"/>
                <w:lang w:val="en-US" w:eastAsia="es-ES"/>
              </w:rPr>
            </w:pPr>
            <w:proofErr w:type="spellStart"/>
            <w:r w:rsidRPr="006010D0">
              <w:rPr>
                <w:rFonts w:ascii="Verdana" w:hAnsi="Verdana" w:cs="Calibri"/>
                <w:b/>
                <w:color w:val="000000"/>
                <w:sz w:val="20"/>
                <w:szCs w:val="20"/>
                <w:lang w:val="en-US" w:eastAsia="es-ES"/>
              </w:rPr>
              <w:t>Bastante</w:t>
            </w:r>
            <w:proofErr w:type="spellEnd"/>
            <w:r w:rsidRPr="006010D0">
              <w:rPr>
                <w:rFonts w:ascii="Verdana" w:hAnsi="Verdana" w:cs="Calibri"/>
                <w:b/>
                <w:color w:val="000000"/>
                <w:sz w:val="20"/>
                <w:szCs w:val="20"/>
                <w:lang w:val="en-US" w:eastAsia="es-ES"/>
              </w:rPr>
              <w:t xml:space="preserve"> y </w:t>
            </w:r>
            <w:proofErr w:type="spellStart"/>
            <w:r w:rsidRPr="006010D0">
              <w:rPr>
                <w:rFonts w:ascii="Verdana" w:hAnsi="Verdana" w:cs="Calibri"/>
                <w:b/>
                <w:color w:val="000000"/>
                <w:sz w:val="20"/>
                <w:szCs w:val="20"/>
                <w:lang w:val="en-US" w:eastAsia="es-ES"/>
              </w:rPr>
              <w:t>muy</w:t>
            </w:r>
            <w:proofErr w:type="spellEnd"/>
            <w:r w:rsidRPr="006010D0">
              <w:rPr>
                <w:rFonts w:ascii="Verdana" w:hAnsi="Verdana" w:cs="Calibri"/>
                <w:b/>
                <w:color w:val="000000"/>
                <w:sz w:val="20"/>
                <w:szCs w:val="20"/>
                <w:lang w:val="en-US" w:eastAsia="es-ES"/>
              </w:rPr>
              <w:t xml:space="preserve"> </w:t>
            </w:r>
            <w:proofErr w:type="spellStart"/>
            <w:r w:rsidRPr="006010D0">
              <w:rPr>
                <w:rFonts w:ascii="Verdana" w:hAnsi="Verdana" w:cs="Calibri"/>
                <w:b/>
                <w:color w:val="000000"/>
                <w:sz w:val="20"/>
                <w:szCs w:val="20"/>
                <w:lang w:val="en-US" w:eastAsia="es-ES"/>
              </w:rPr>
              <w:t>satisfecho</w:t>
            </w:r>
            <w:proofErr w:type="spellEnd"/>
          </w:p>
        </w:tc>
        <w:tc>
          <w:tcPr>
            <w:tcW w:w="1134" w:type="dxa"/>
            <w:tcBorders>
              <w:top w:val="double" w:sz="4" w:space="0" w:color="auto"/>
              <w:left w:val="nil"/>
              <w:bottom w:val="nil"/>
              <w:right w:val="double" w:sz="4" w:space="0" w:color="auto"/>
            </w:tcBorders>
            <w:noWrap/>
            <w:vAlign w:val="bottom"/>
          </w:tcPr>
          <w:p w:rsidR="006010D0" w:rsidRPr="006010D0" w:rsidRDefault="006010D0" w:rsidP="006010D0">
            <w:pPr>
              <w:spacing w:line="240" w:lineRule="auto"/>
              <w:jc w:val="right"/>
              <w:rPr>
                <w:rFonts w:ascii="Verdana" w:hAnsi="Verdana" w:cs="Calibri"/>
                <w:b/>
                <w:color w:val="000000"/>
                <w:sz w:val="20"/>
                <w:szCs w:val="20"/>
                <w:lang w:val="en-US" w:eastAsia="es-ES"/>
              </w:rPr>
            </w:pPr>
            <w:r w:rsidRPr="006010D0">
              <w:rPr>
                <w:rFonts w:ascii="Verdana" w:hAnsi="Verdana" w:cs="Calibri"/>
                <w:b/>
                <w:color w:val="000000"/>
                <w:sz w:val="20"/>
                <w:szCs w:val="20"/>
                <w:lang w:val="en-US" w:eastAsia="es-ES"/>
              </w:rPr>
              <w:t>Total</w:t>
            </w:r>
          </w:p>
        </w:tc>
      </w:tr>
      <w:tr w:rsidR="006010D0" w:rsidRPr="006010D0" w:rsidTr="00111BCB">
        <w:trPr>
          <w:trHeight w:val="300"/>
          <w:jc w:val="center"/>
        </w:trPr>
        <w:tc>
          <w:tcPr>
            <w:tcW w:w="1636" w:type="dxa"/>
            <w:tcBorders>
              <w:top w:val="nil"/>
              <w:left w:val="double" w:sz="4" w:space="0" w:color="auto"/>
              <w:bottom w:val="nil"/>
              <w:right w:val="nil"/>
            </w:tcBorders>
            <w:noWrap/>
            <w:vAlign w:val="bottom"/>
          </w:tcPr>
          <w:p w:rsidR="006010D0" w:rsidRPr="006010D0" w:rsidRDefault="006010D0" w:rsidP="006010D0">
            <w:pPr>
              <w:spacing w:line="240" w:lineRule="auto"/>
              <w:rPr>
                <w:rFonts w:ascii="Verdana" w:hAnsi="Verdana" w:cs="Calibri"/>
                <w:color w:val="000000"/>
                <w:sz w:val="20"/>
                <w:szCs w:val="20"/>
                <w:lang w:val="en-US" w:eastAsia="es-ES"/>
              </w:rPr>
            </w:pPr>
            <w:proofErr w:type="spellStart"/>
            <w:r w:rsidRPr="006010D0">
              <w:rPr>
                <w:rFonts w:ascii="Verdana" w:hAnsi="Verdana" w:cs="Calibri"/>
                <w:color w:val="000000"/>
                <w:sz w:val="20"/>
                <w:szCs w:val="20"/>
                <w:lang w:val="en-US" w:eastAsia="es-ES"/>
              </w:rPr>
              <w:t>Poco</w:t>
            </w:r>
            <w:proofErr w:type="spellEnd"/>
            <w:r w:rsidRPr="006010D0">
              <w:rPr>
                <w:rFonts w:ascii="Verdana" w:hAnsi="Verdana" w:cs="Calibri"/>
                <w:color w:val="000000"/>
                <w:sz w:val="20"/>
                <w:szCs w:val="20"/>
                <w:lang w:val="en-US" w:eastAsia="es-ES"/>
              </w:rPr>
              <w:t xml:space="preserve"> o nada </w:t>
            </w:r>
          </w:p>
        </w:tc>
        <w:tc>
          <w:tcPr>
            <w:tcW w:w="1758"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10,6</w:t>
            </w:r>
          </w:p>
        </w:tc>
        <w:tc>
          <w:tcPr>
            <w:tcW w:w="1386"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6,1</w:t>
            </w:r>
          </w:p>
        </w:tc>
        <w:tc>
          <w:tcPr>
            <w:tcW w:w="1701"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1,3</w:t>
            </w:r>
          </w:p>
        </w:tc>
        <w:tc>
          <w:tcPr>
            <w:tcW w:w="1134" w:type="dxa"/>
            <w:tcBorders>
              <w:top w:val="nil"/>
              <w:left w:val="nil"/>
              <w:bottom w:val="nil"/>
              <w:right w:val="double" w:sz="4" w:space="0" w:color="auto"/>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18,0</w:t>
            </w:r>
          </w:p>
        </w:tc>
      </w:tr>
      <w:tr w:rsidR="006010D0" w:rsidRPr="006010D0" w:rsidTr="00111BCB">
        <w:trPr>
          <w:trHeight w:val="300"/>
          <w:jc w:val="center"/>
        </w:trPr>
        <w:tc>
          <w:tcPr>
            <w:tcW w:w="1636" w:type="dxa"/>
            <w:tcBorders>
              <w:top w:val="nil"/>
              <w:left w:val="double" w:sz="4" w:space="0" w:color="auto"/>
              <w:bottom w:val="nil"/>
              <w:right w:val="nil"/>
            </w:tcBorders>
            <w:noWrap/>
            <w:vAlign w:val="bottom"/>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Regular</w:t>
            </w:r>
          </w:p>
        </w:tc>
        <w:tc>
          <w:tcPr>
            <w:tcW w:w="1758"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12,7</w:t>
            </w:r>
          </w:p>
        </w:tc>
        <w:tc>
          <w:tcPr>
            <w:tcW w:w="1386"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25,3</w:t>
            </w:r>
          </w:p>
        </w:tc>
        <w:tc>
          <w:tcPr>
            <w:tcW w:w="1701"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9,0</w:t>
            </w:r>
          </w:p>
        </w:tc>
        <w:tc>
          <w:tcPr>
            <w:tcW w:w="1134" w:type="dxa"/>
            <w:tcBorders>
              <w:top w:val="nil"/>
              <w:left w:val="nil"/>
              <w:bottom w:val="nil"/>
              <w:right w:val="double" w:sz="4" w:space="0" w:color="auto"/>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47,0</w:t>
            </w:r>
          </w:p>
        </w:tc>
      </w:tr>
      <w:tr w:rsidR="006010D0" w:rsidRPr="006010D0" w:rsidTr="00111BCB">
        <w:trPr>
          <w:trHeight w:val="300"/>
          <w:jc w:val="center"/>
        </w:trPr>
        <w:tc>
          <w:tcPr>
            <w:tcW w:w="1636" w:type="dxa"/>
            <w:tcBorders>
              <w:top w:val="nil"/>
              <w:left w:val="double" w:sz="4" w:space="0" w:color="auto"/>
              <w:bottom w:val="nil"/>
              <w:right w:val="nil"/>
            </w:tcBorders>
            <w:noWrap/>
            <w:vAlign w:val="bottom"/>
          </w:tcPr>
          <w:p w:rsidR="006010D0" w:rsidRPr="006010D0" w:rsidRDefault="006010D0" w:rsidP="006010D0">
            <w:pPr>
              <w:spacing w:line="240" w:lineRule="auto"/>
              <w:rPr>
                <w:rFonts w:ascii="Verdana" w:hAnsi="Verdana" w:cs="Calibri"/>
                <w:color w:val="000000"/>
                <w:sz w:val="20"/>
                <w:szCs w:val="20"/>
                <w:lang w:val="en-US" w:eastAsia="es-ES"/>
              </w:rPr>
            </w:pPr>
            <w:proofErr w:type="spellStart"/>
            <w:r w:rsidRPr="006010D0">
              <w:rPr>
                <w:rFonts w:ascii="Verdana" w:hAnsi="Verdana" w:cs="Calibri"/>
                <w:color w:val="000000"/>
                <w:sz w:val="20"/>
                <w:szCs w:val="20"/>
                <w:lang w:val="en-US" w:eastAsia="es-ES"/>
              </w:rPr>
              <w:t>Bastante</w:t>
            </w:r>
            <w:proofErr w:type="spellEnd"/>
            <w:r w:rsidRPr="006010D0">
              <w:rPr>
                <w:rFonts w:ascii="Verdana" w:hAnsi="Verdana" w:cs="Calibri"/>
                <w:color w:val="000000"/>
                <w:sz w:val="20"/>
                <w:szCs w:val="20"/>
                <w:lang w:val="en-US" w:eastAsia="es-ES"/>
              </w:rPr>
              <w:t xml:space="preserve"> y mucho</w:t>
            </w:r>
          </w:p>
        </w:tc>
        <w:tc>
          <w:tcPr>
            <w:tcW w:w="1758"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8,2</w:t>
            </w:r>
          </w:p>
        </w:tc>
        <w:tc>
          <w:tcPr>
            <w:tcW w:w="1386"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10,3</w:t>
            </w:r>
          </w:p>
        </w:tc>
        <w:tc>
          <w:tcPr>
            <w:tcW w:w="1701" w:type="dxa"/>
            <w:tcBorders>
              <w:top w:val="nil"/>
              <w:left w:val="nil"/>
              <w:bottom w:val="nil"/>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16,5</w:t>
            </w:r>
          </w:p>
        </w:tc>
        <w:tc>
          <w:tcPr>
            <w:tcW w:w="1134" w:type="dxa"/>
            <w:tcBorders>
              <w:top w:val="nil"/>
              <w:left w:val="nil"/>
              <w:bottom w:val="nil"/>
              <w:right w:val="double" w:sz="4" w:space="0" w:color="auto"/>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35,0</w:t>
            </w:r>
          </w:p>
        </w:tc>
      </w:tr>
      <w:tr w:rsidR="006010D0" w:rsidRPr="006010D0" w:rsidTr="00111BCB">
        <w:trPr>
          <w:trHeight w:val="300"/>
          <w:jc w:val="center"/>
        </w:trPr>
        <w:tc>
          <w:tcPr>
            <w:tcW w:w="1636" w:type="dxa"/>
            <w:tcBorders>
              <w:top w:val="nil"/>
              <w:left w:val="double" w:sz="4" w:space="0" w:color="auto"/>
              <w:bottom w:val="double" w:sz="4" w:space="0" w:color="auto"/>
              <w:right w:val="nil"/>
            </w:tcBorders>
            <w:noWrap/>
            <w:vAlign w:val="bottom"/>
          </w:tcPr>
          <w:p w:rsidR="006010D0" w:rsidRPr="006010D0" w:rsidRDefault="006010D0" w:rsidP="006010D0">
            <w:pPr>
              <w:spacing w:line="240" w:lineRule="auto"/>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Total</w:t>
            </w:r>
          </w:p>
        </w:tc>
        <w:tc>
          <w:tcPr>
            <w:tcW w:w="1758" w:type="dxa"/>
            <w:tcBorders>
              <w:top w:val="nil"/>
              <w:left w:val="nil"/>
              <w:bottom w:val="double" w:sz="4" w:space="0" w:color="auto"/>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31,5</w:t>
            </w:r>
          </w:p>
        </w:tc>
        <w:tc>
          <w:tcPr>
            <w:tcW w:w="1386" w:type="dxa"/>
            <w:tcBorders>
              <w:top w:val="nil"/>
              <w:left w:val="nil"/>
              <w:bottom w:val="double" w:sz="4" w:space="0" w:color="auto"/>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41,7</w:t>
            </w:r>
          </w:p>
        </w:tc>
        <w:tc>
          <w:tcPr>
            <w:tcW w:w="1701" w:type="dxa"/>
            <w:tcBorders>
              <w:top w:val="nil"/>
              <w:left w:val="nil"/>
              <w:bottom w:val="double" w:sz="4" w:space="0" w:color="auto"/>
              <w:right w:val="nil"/>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26,8</w:t>
            </w:r>
          </w:p>
        </w:tc>
        <w:tc>
          <w:tcPr>
            <w:tcW w:w="1134" w:type="dxa"/>
            <w:tcBorders>
              <w:top w:val="nil"/>
              <w:left w:val="nil"/>
              <w:bottom w:val="double" w:sz="4" w:space="0" w:color="auto"/>
              <w:right w:val="double" w:sz="4" w:space="0" w:color="auto"/>
            </w:tcBorders>
            <w:noWrap/>
            <w:vAlign w:val="bottom"/>
          </w:tcPr>
          <w:p w:rsidR="006010D0" w:rsidRPr="006010D0" w:rsidRDefault="006010D0" w:rsidP="006010D0">
            <w:pPr>
              <w:spacing w:line="240" w:lineRule="auto"/>
              <w:jc w:val="right"/>
              <w:rPr>
                <w:rFonts w:ascii="Verdana" w:hAnsi="Verdana" w:cs="Calibri"/>
                <w:color w:val="000000"/>
                <w:sz w:val="20"/>
                <w:szCs w:val="20"/>
                <w:lang w:val="en-US" w:eastAsia="es-ES"/>
              </w:rPr>
            </w:pPr>
            <w:r w:rsidRPr="006010D0">
              <w:rPr>
                <w:rFonts w:ascii="Verdana" w:hAnsi="Verdana" w:cs="Calibri"/>
                <w:color w:val="000000"/>
                <w:sz w:val="20"/>
                <w:szCs w:val="20"/>
                <w:lang w:val="en-US" w:eastAsia="es-ES"/>
              </w:rPr>
              <w:t>100,0</w:t>
            </w:r>
          </w:p>
        </w:tc>
      </w:tr>
    </w:tbl>
    <w:p w:rsidR="006010D0" w:rsidRPr="006010D0" w:rsidRDefault="006010D0" w:rsidP="006010D0">
      <w:pPr>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r w:rsidRPr="006010D0">
        <w:rPr>
          <w:rFonts w:ascii="Verdana" w:hAnsi="Verdana"/>
        </w:rPr>
        <w:t xml:space="preserve">A partir del análisis de la valoración que efectúan los asalariados encuestados sobre los representantes de los trabajadores podemos observar, en general, que  el nivel de satisfacción aumenta con el tamaño de la empresa (tabla 3.14). Sin embargo, cuando comparamos el año 2007 con el 2010, que permite tener en cuenta los efectos de la crisis económica, observamos que se reduce el porcentaje de trabajadores poco o nada satisfechos (excepto en las empresas con más de 250 trabajadores) incrementándose el de aquellos trabajadores satisfechos. </w:t>
      </w:r>
    </w:p>
    <w:p w:rsidR="006010D0" w:rsidRPr="006010D0" w:rsidRDefault="006010D0" w:rsidP="006010D0">
      <w:pPr>
        <w:spacing w:line="240" w:lineRule="auto"/>
        <w:jc w:val="both"/>
        <w:rPr>
          <w:rFonts w:ascii="Verdana" w:hAnsi="Verdana"/>
        </w:rPr>
      </w:pPr>
    </w:p>
    <w:p w:rsidR="006010D0" w:rsidRPr="006010D0" w:rsidRDefault="006010D0" w:rsidP="006010D0">
      <w:pPr>
        <w:keepNext/>
        <w:keepLines/>
        <w:spacing w:line="240" w:lineRule="auto"/>
        <w:jc w:val="center"/>
        <w:rPr>
          <w:rFonts w:ascii="Verdana" w:hAnsi="Verdana"/>
        </w:rPr>
      </w:pPr>
      <w:r w:rsidRPr="006010D0">
        <w:rPr>
          <w:rFonts w:ascii="Verdana" w:hAnsi="Verdana"/>
        </w:rPr>
        <w:t>Tabla 3.14. Distribución de los trabajadores según valoración de la representación sindical y tamaño de la empresa (en %)</w:t>
      </w:r>
    </w:p>
    <w:tbl>
      <w:tblPr>
        <w:tblW w:w="0" w:type="auto"/>
        <w:jc w:val="center"/>
        <w:tblInd w:w="46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A0" w:firstRow="1" w:lastRow="0" w:firstColumn="1" w:lastColumn="0" w:noHBand="0" w:noVBand="0"/>
      </w:tblPr>
      <w:tblGrid>
        <w:gridCol w:w="1166"/>
        <w:gridCol w:w="992"/>
        <w:gridCol w:w="992"/>
        <w:gridCol w:w="1134"/>
        <w:gridCol w:w="1134"/>
        <w:gridCol w:w="1134"/>
        <w:gridCol w:w="927"/>
      </w:tblGrid>
      <w:tr w:rsidR="006010D0" w:rsidRPr="006010D0" w:rsidTr="00111BCB">
        <w:trPr>
          <w:trHeight w:val="300"/>
          <w:jc w:val="center"/>
        </w:trPr>
        <w:tc>
          <w:tcPr>
            <w:tcW w:w="1166" w:type="dxa"/>
            <w:tcBorders>
              <w:top w:val="double" w:sz="4" w:space="0" w:color="auto"/>
              <w:left w:val="double" w:sz="4" w:space="0" w:color="auto"/>
              <w:bottom w:val="nil"/>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eastAsia="es-ES"/>
              </w:rPr>
            </w:pPr>
          </w:p>
        </w:tc>
        <w:tc>
          <w:tcPr>
            <w:tcW w:w="1984" w:type="dxa"/>
            <w:gridSpan w:val="2"/>
            <w:tcBorders>
              <w:top w:val="double" w:sz="4" w:space="0" w:color="auto"/>
              <w:left w:val="nil"/>
              <w:bottom w:val="nil"/>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Poco</w:t>
            </w:r>
            <w:proofErr w:type="spellEnd"/>
            <w:r w:rsidRPr="006010D0">
              <w:rPr>
                <w:rFonts w:ascii="Verdana" w:hAnsi="Verdana"/>
                <w:b/>
                <w:color w:val="000000"/>
                <w:sz w:val="20"/>
                <w:szCs w:val="20"/>
                <w:lang w:val="en-US" w:eastAsia="es-ES"/>
              </w:rPr>
              <w:t xml:space="preserve"> o nada </w:t>
            </w:r>
            <w:proofErr w:type="spellStart"/>
            <w:r w:rsidRPr="006010D0">
              <w:rPr>
                <w:rFonts w:ascii="Verdana" w:hAnsi="Verdana"/>
                <w:b/>
                <w:color w:val="000000"/>
                <w:sz w:val="20"/>
                <w:szCs w:val="20"/>
                <w:lang w:val="en-US" w:eastAsia="es-ES"/>
              </w:rPr>
              <w:t>satisfecho</w:t>
            </w:r>
            <w:proofErr w:type="spellEnd"/>
          </w:p>
        </w:tc>
        <w:tc>
          <w:tcPr>
            <w:tcW w:w="2268" w:type="dxa"/>
            <w:gridSpan w:val="2"/>
            <w:tcBorders>
              <w:top w:val="double" w:sz="4" w:space="0" w:color="auto"/>
              <w:left w:val="nil"/>
              <w:bottom w:val="nil"/>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Satisfecho</w:t>
            </w:r>
            <w:proofErr w:type="spellEnd"/>
          </w:p>
        </w:tc>
        <w:tc>
          <w:tcPr>
            <w:tcW w:w="2061" w:type="dxa"/>
            <w:gridSpan w:val="2"/>
            <w:tcBorders>
              <w:top w:val="double" w:sz="4" w:space="0" w:color="auto"/>
              <w:left w:val="nil"/>
              <w:bottom w:val="nil"/>
              <w:right w:val="double" w:sz="4" w:space="0" w:color="auto"/>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Bastante</w:t>
            </w:r>
            <w:proofErr w:type="spellEnd"/>
            <w:r w:rsidRPr="006010D0">
              <w:rPr>
                <w:rFonts w:ascii="Verdana" w:hAnsi="Verdana"/>
                <w:b/>
                <w:color w:val="000000"/>
                <w:sz w:val="20"/>
                <w:szCs w:val="20"/>
                <w:lang w:val="en-US" w:eastAsia="es-ES"/>
              </w:rPr>
              <w:t xml:space="preserve"> y</w:t>
            </w:r>
          </w:p>
          <w:p w:rsidR="006010D0" w:rsidRPr="006010D0" w:rsidRDefault="006010D0" w:rsidP="006010D0">
            <w:pPr>
              <w:keepNext/>
              <w:keepLines/>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muy</w:t>
            </w:r>
            <w:proofErr w:type="spellEnd"/>
            <w:r w:rsidRPr="006010D0">
              <w:rPr>
                <w:rFonts w:ascii="Verdana" w:hAnsi="Verdana"/>
                <w:b/>
                <w:color w:val="000000"/>
                <w:sz w:val="20"/>
                <w:szCs w:val="20"/>
                <w:lang w:val="en-US" w:eastAsia="es-ES"/>
              </w:rPr>
              <w:t xml:space="preserve"> </w:t>
            </w:r>
            <w:proofErr w:type="spellStart"/>
            <w:r w:rsidRPr="006010D0">
              <w:rPr>
                <w:rFonts w:ascii="Verdana" w:hAnsi="Verdana"/>
                <w:b/>
                <w:color w:val="000000"/>
                <w:sz w:val="20"/>
                <w:szCs w:val="20"/>
                <w:lang w:val="en-US" w:eastAsia="es-ES"/>
              </w:rPr>
              <w:t>satisfecho</w:t>
            </w:r>
            <w:proofErr w:type="spellEnd"/>
          </w:p>
        </w:tc>
      </w:tr>
      <w:tr w:rsidR="006010D0" w:rsidRPr="006010D0" w:rsidTr="00111BCB">
        <w:trPr>
          <w:trHeight w:val="300"/>
          <w:jc w:val="center"/>
        </w:trPr>
        <w:tc>
          <w:tcPr>
            <w:tcW w:w="1166" w:type="dxa"/>
            <w:tcBorders>
              <w:top w:val="nil"/>
              <w:left w:val="double" w:sz="4" w:space="0" w:color="auto"/>
              <w:bottom w:val="single" w:sz="4" w:space="0" w:color="auto"/>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val="en-US" w:eastAsia="es-ES"/>
              </w:rPr>
            </w:pPr>
          </w:p>
        </w:tc>
        <w:tc>
          <w:tcPr>
            <w:tcW w:w="992" w:type="dxa"/>
            <w:tcBorders>
              <w:top w:val="nil"/>
              <w:left w:val="nil"/>
              <w:bottom w:val="single" w:sz="4" w:space="0" w:color="auto"/>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2007</w:t>
            </w:r>
          </w:p>
        </w:tc>
        <w:tc>
          <w:tcPr>
            <w:tcW w:w="992" w:type="dxa"/>
            <w:tcBorders>
              <w:top w:val="nil"/>
              <w:left w:val="nil"/>
              <w:bottom w:val="single" w:sz="4" w:space="0" w:color="auto"/>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2010</w:t>
            </w:r>
          </w:p>
        </w:tc>
        <w:tc>
          <w:tcPr>
            <w:tcW w:w="1134" w:type="dxa"/>
            <w:tcBorders>
              <w:top w:val="nil"/>
              <w:left w:val="nil"/>
              <w:bottom w:val="single" w:sz="4" w:space="0" w:color="auto"/>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2007</w:t>
            </w:r>
          </w:p>
        </w:tc>
        <w:tc>
          <w:tcPr>
            <w:tcW w:w="1134" w:type="dxa"/>
            <w:tcBorders>
              <w:top w:val="nil"/>
              <w:left w:val="nil"/>
              <w:bottom w:val="single" w:sz="4" w:space="0" w:color="auto"/>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2010</w:t>
            </w:r>
          </w:p>
        </w:tc>
        <w:tc>
          <w:tcPr>
            <w:tcW w:w="1134" w:type="dxa"/>
            <w:tcBorders>
              <w:top w:val="nil"/>
              <w:left w:val="nil"/>
              <w:bottom w:val="single" w:sz="4" w:space="0" w:color="auto"/>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2007</w:t>
            </w:r>
          </w:p>
        </w:tc>
        <w:tc>
          <w:tcPr>
            <w:tcW w:w="927" w:type="dxa"/>
            <w:tcBorders>
              <w:top w:val="nil"/>
              <w:left w:val="nil"/>
              <w:bottom w:val="single" w:sz="4" w:space="0" w:color="auto"/>
              <w:right w:val="double" w:sz="4" w:space="0" w:color="auto"/>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2010</w:t>
            </w:r>
          </w:p>
        </w:tc>
      </w:tr>
      <w:tr w:rsidR="006010D0" w:rsidRPr="006010D0" w:rsidTr="00111BCB">
        <w:trPr>
          <w:trHeight w:val="300"/>
          <w:jc w:val="center"/>
        </w:trPr>
        <w:tc>
          <w:tcPr>
            <w:tcW w:w="1166" w:type="dxa"/>
            <w:tcBorders>
              <w:top w:val="single" w:sz="4" w:space="0" w:color="auto"/>
              <w:left w:val="double" w:sz="4" w:space="0" w:color="auto"/>
              <w:bottom w:val="nil"/>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val="en-US" w:eastAsia="es-ES"/>
              </w:rPr>
            </w:pPr>
            <w:smartTag w:uri="urn:schemas-microsoft-com:office:smarttags" w:element="metricconverter">
              <w:smartTagPr>
                <w:attr w:name="ProductID" w:val="2 a"/>
              </w:smartTagPr>
              <w:r w:rsidRPr="006010D0">
                <w:rPr>
                  <w:rFonts w:ascii="Verdana" w:hAnsi="Verdana"/>
                  <w:color w:val="000000"/>
                  <w:sz w:val="20"/>
                  <w:szCs w:val="20"/>
                  <w:lang w:val="en-US" w:eastAsia="es-ES"/>
                </w:rPr>
                <w:t>2 a</w:t>
              </w:r>
            </w:smartTag>
            <w:r w:rsidRPr="006010D0">
              <w:rPr>
                <w:rFonts w:ascii="Verdana" w:hAnsi="Verdana"/>
                <w:color w:val="000000"/>
                <w:sz w:val="20"/>
                <w:szCs w:val="20"/>
                <w:lang w:val="en-US" w:eastAsia="es-ES"/>
              </w:rPr>
              <w:t xml:space="preserve"> 9</w:t>
            </w:r>
          </w:p>
        </w:tc>
        <w:tc>
          <w:tcPr>
            <w:tcW w:w="992" w:type="dxa"/>
            <w:tcBorders>
              <w:top w:val="single" w:sz="4" w:space="0" w:color="auto"/>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61,8</w:t>
            </w:r>
          </w:p>
        </w:tc>
        <w:tc>
          <w:tcPr>
            <w:tcW w:w="992" w:type="dxa"/>
            <w:tcBorders>
              <w:top w:val="single" w:sz="4" w:space="0" w:color="auto"/>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43,2</w:t>
            </w:r>
          </w:p>
        </w:tc>
        <w:tc>
          <w:tcPr>
            <w:tcW w:w="1134" w:type="dxa"/>
            <w:tcBorders>
              <w:top w:val="single" w:sz="4" w:space="0" w:color="auto"/>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22,6</w:t>
            </w:r>
          </w:p>
        </w:tc>
        <w:tc>
          <w:tcPr>
            <w:tcW w:w="1134" w:type="dxa"/>
            <w:tcBorders>
              <w:top w:val="single" w:sz="4" w:space="0" w:color="auto"/>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36,3</w:t>
            </w:r>
          </w:p>
        </w:tc>
        <w:tc>
          <w:tcPr>
            <w:tcW w:w="1134" w:type="dxa"/>
            <w:tcBorders>
              <w:top w:val="single" w:sz="4" w:space="0" w:color="auto"/>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15,6</w:t>
            </w:r>
          </w:p>
        </w:tc>
        <w:tc>
          <w:tcPr>
            <w:tcW w:w="927" w:type="dxa"/>
            <w:tcBorders>
              <w:top w:val="single" w:sz="4" w:space="0" w:color="auto"/>
              <w:left w:val="nil"/>
              <w:bottom w:val="nil"/>
              <w:right w:val="double" w:sz="4" w:space="0" w:color="auto"/>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20,5</w:t>
            </w:r>
          </w:p>
        </w:tc>
      </w:tr>
      <w:tr w:rsidR="006010D0" w:rsidRPr="006010D0" w:rsidTr="00111BCB">
        <w:trPr>
          <w:trHeight w:val="300"/>
          <w:jc w:val="center"/>
        </w:trPr>
        <w:tc>
          <w:tcPr>
            <w:tcW w:w="1166" w:type="dxa"/>
            <w:tcBorders>
              <w:top w:val="nil"/>
              <w:left w:val="double" w:sz="4" w:space="0" w:color="auto"/>
              <w:bottom w:val="nil"/>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val="en-US" w:eastAsia="es-ES"/>
              </w:rPr>
            </w:pPr>
            <w:smartTag w:uri="urn:schemas-microsoft-com:office:smarttags" w:element="metricconverter">
              <w:smartTagPr>
                <w:attr w:name="ProductID" w:val="10 a"/>
              </w:smartTagPr>
              <w:r w:rsidRPr="006010D0">
                <w:rPr>
                  <w:rFonts w:ascii="Verdana" w:hAnsi="Verdana"/>
                  <w:color w:val="000000"/>
                  <w:sz w:val="20"/>
                  <w:szCs w:val="20"/>
                  <w:lang w:val="en-US" w:eastAsia="es-ES"/>
                </w:rPr>
                <w:t>10 a</w:t>
              </w:r>
            </w:smartTag>
            <w:r w:rsidRPr="006010D0">
              <w:rPr>
                <w:rFonts w:ascii="Verdana" w:hAnsi="Verdana"/>
                <w:color w:val="000000"/>
                <w:sz w:val="20"/>
                <w:szCs w:val="20"/>
                <w:lang w:val="en-US" w:eastAsia="es-ES"/>
              </w:rPr>
              <w:t xml:space="preserve"> 49</w:t>
            </w:r>
          </w:p>
        </w:tc>
        <w:tc>
          <w:tcPr>
            <w:tcW w:w="99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42,1</w:t>
            </w:r>
          </w:p>
        </w:tc>
        <w:tc>
          <w:tcPr>
            <w:tcW w:w="99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36,1</w:t>
            </w:r>
          </w:p>
        </w:tc>
        <w:tc>
          <w:tcPr>
            <w:tcW w:w="1134"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33,6</w:t>
            </w:r>
          </w:p>
        </w:tc>
        <w:tc>
          <w:tcPr>
            <w:tcW w:w="1134"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41,2</w:t>
            </w:r>
          </w:p>
        </w:tc>
        <w:tc>
          <w:tcPr>
            <w:tcW w:w="1134"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24,3</w:t>
            </w:r>
          </w:p>
        </w:tc>
        <w:tc>
          <w:tcPr>
            <w:tcW w:w="927" w:type="dxa"/>
            <w:tcBorders>
              <w:top w:val="nil"/>
              <w:left w:val="nil"/>
              <w:bottom w:val="nil"/>
              <w:right w:val="double" w:sz="4" w:space="0" w:color="auto"/>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22,7</w:t>
            </w:r>
          </w:p>
        </w:tc>
      </w:tr>
      <w:tr w:rsidR="006010D0" w:rsidRPr="006010D0" w:rsidTr="00111BCB">
        <w:trPr>
          <w:trHeight w:val="300"/>
          <w:jc w:val="center"/>
        </w:trPr>
        <w:tc>
          <w:tcPr>
            <w:tcW w:w="1166" w:type="dxa"/>
            <w:tcBorders>
              <w:top w:val="nil"/>
              <w:left w:val="double" w:sz="4" w:space="0" w:color="auto"/>
              <w:bottom w:val="nil"/>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val="en-US" w:eastAsia="es-ES"/>
              </w:rPr>
            </w:pPr>
            <w:smartTag w:uri="urn:schemas-microsoft-com:office:smarttags" w:element="metricconverter">
              <w:smartTagPr>
                <w:attr w:name="ProductID" w:val="50 a"/>
              </w:smartTagPr>
              <w:r w:rsidRPr="006010D0">
                <w:rPr>
                  <w:rFonts w:ascii="Verdana" w:hAnsi="Verdana"/>
                  <w:color w:val="000000"/>
                  <w:sz w:val="20"/>
                  <w:szCs w:val="20"/>
                  <w:lang w:val="en-US" w:eastAsia="es-ES"/>
                </w:rPr>
                <w:t>50 a</w:t>
              </w:r>
            </w:smartTag>
            <w:r w:rsidRPr="006010D0">
              <w:rPr>
                <w:rFonts w:ascii="Verdana" w:hAnsi="Verdana"/>
                <w:color w:val="000000"/>
                <w:sz w:val="20"/>
                <w:szCs w:val="20"/>
                <w:lang w:val="en-US" w:eastAsia="es-ES"/>
              </w:rPr>
              <w:t xml:space="preserve"> 249</w:t>
            </w:r>
          </w:p>
        </w:tc>
        <w:tc>
          <w:tcPr>
            <w:tcW w:w="99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32,0</w:t>
            </w:r>
          </w:p>
        </w:tc>
        <w:tc>
          <w:tcPr>
            <w:tcW w:w="99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31,0</w:t>
            </w:r>
          </w:p>
        </w:tc>
        <w:tc>
          <w:tcPr>
            <w:tcW w:w="1134"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39,1</w:t>
            </w:r>
          </w:p>
        </w:tc>
        <w:tc>
          <w:tcPr>
            <w:tcW w:w="1134"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41,1</w:t>
            </w:r>
          </w:p>
        </w:tc>
        <w:tc>
          <w:tcPr>
            <w:tcW w:w="1134"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28,9</w:t>
            </w:r>
          </w:p>
        </w:tc>
        <w:tc>
          <w:tcPr>
            <w:tcW w:w="927" w:type="dxa"/>
            <w:tcBorders>
              <w:top w:val="nil"/>
              <w:left w:val="nil"/>
              <w:bottom w:val="nil"/>
              <w:right w:val="double" w:sz="4" w:space="0" w:color="auto"/>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27,9</w:t>
            </w:r>
          </w:p>
        </w:tc>
      </w:tr>
      <w:tr w:rsidR="006010D0" w:rsidRPr="006010D0" w:rsidTr="00111BCB">
        <w:trPr>
          <w:trHeight w:val="300"/>
          <w:jc w:val="center"/>
        </w:trPr>
        <w:tc>
          <w:tcPr>
            <w:tcW w:w="1166" w:type="dxa"/>
            <w:tcBorders>
              <w:top w:val="nil"/>
              <w:left w:val="double" w:sz="4" w:space="0" w:color="auto"/>
              <w:bottom w:val="single" w:sz="4" w:space="0" w:color="auto"/>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val="en-US" w:eastAsia="es-ES"/>
              </w:rPr>
            </w:pPr>
            <w:proofErr w:type="spellStart"/>
            <w:r w:rsidRPr="006010D0">
              <w:rPr>
                <w:rFonts w:ascii="Verdana" w:hAnsi="Verdana"/>
                <w:color w:val="000000"/>
                <w:sz w:val="20"/>
                <w:szCs w:val="20"/>
                <w:lang w:val="en-US" w:eastAsia="es-ES"/>
              </w:rPr>
              <w:t>Más</w:t>
            </w:r>
            <w:proofErr w:type="spellEnd"/>
            <w:r w:rsidRPr="006010D0">
              <w:rPr>
                <w:rFonts w:ascii="Verdana" w:hAnsi="Verdana"/>
                <w:color w:val="000000"/>
                <w:sz w:val="20"/>
                <w:szCs w:val="20"/>
                <w:lang w:val="en-US" w:eastAsia="es-ES"/>
              </w:rPr>
              <w:t xml:space="preserve"> de 250</w:t>
            </w:r>
          </w:p>
        </w:tc>
        <w:tc>
          <w:tcPr>
            <w:tcW w:w="992" w:type="dxa"/>
            <w:tcBorders>
              <w:top w:val="nil"/>
              <w:left w:val="nil"/>
              <w:bottom w:val="sing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24,7</w:t>
            </w:r>
          </w:p>
        </w:tc>
        <w:tc>
          <w:tcPr>
            <w:tcW w:w="992" w:type="dxa"/>
            <w:tcBorders>
              <w:top w:val="nil"/>
              <w:left w:val="nil"/>
              <w:bottom w:val="sing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25,5</w:t>
            </w:r>
          </w:p>
        </w:tc>
        <w:tc>
          <w:tcPr>
            <w:tcW w:w="1134" w:type="dxa"/>
            <w:tcBorders>
              <w:top w:val="nil"/>
              <w:left w:val="nil"/>
              <w:bottom w:val="sing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40,0</w:t>
            </w:r>
          </w:p>
        </w:tc>
        <w:tc>
          <w:tcPr>
            <w:tcW w:w="1134" w:type="dxa"/>
            <w:tcBorders>
              <w:top w:val="nil"/>
              <w:left w:val="nil"/>
              <w:bottom w:val="sing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44,1</w:t>
            </w:r>
          </w:p>
        </w:tc>
        <w:tc>
          <w:tcPr>
            <w:tcW w:w="1134" w:type="dxa"/>
            <w:tcBorders>
              <w:top w:val="nil"/>
              <w:left w:val="nil"/>
              <w:bottom w:val="sing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35,3</w:t>
            </w:r>
          </w:p>
        </w:tc>
        <w:tc>
          <w:tcPr>
            <w:tcW w:w="927" w:type="dxa"/>
            <w:tcBorders>
              <w:top w:val="nil"/>
              <w:left w:val="nil"/>
              <w:bottom w:val="single" w:sz="4" w:space="0" w:color="auto"/>
              <w:right w:val="double" w:sz="4" w:space="0" w:color="auto"/>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30,4</w:t>
            </w:r>
          </w:p>
        </w:tc>
      </w:tr>
      <w:tr w:rsidR="006010D0" w:rsidRPr="006010D0" w:rsidTr="00111BCB">
        <w:trPr>
          <w:trHeight w:val="300"/>
          <w:jc w:val="center"/>
        </w:trPr>
        <w:tc>
          <w:tcPr>
            <w:tcW w:w="1166" w:type="dxa"/>
            <w:tcBorders>
              <w:top w:val="single" w:sz="4" w:space="0" w:color="auto"/>
              <w:left w:val="double" w:sz="4" w:space="0" w:color="auto"/>
              <w:bottom w:val="double" w:sz="4" w:space="0" w:color="auto"/>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olor w:val="000000"/>
                <w:sz w:val="20"/>
                <w:szCs w:val="20"/>
                <w:lang w:val="en-US" w:eastAsia="es-ES"/>
              </w:rPr>
              <w:t>Total</w:t>
            </w:r>
          </w:p>
        </w:tc>
        <w:tc>
          <w:tcPr>
            <w:tcW w:w="992" w:type="dxa"/>
            <w:tcBorders>
              <w:top w:val="single" w:sz="4" w:space="0" w:color="auto"/>
              <w:left w:val="nil"/>
              <w:bottom w:val="doub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36,5</w:t>
            </w:r>
          </w:p>
        </w:tc>
        <w:tc>
          <w:tcPr>
            <w:tcW w:w="992" w:type="dxa"/>
            <w:tcBorders>
              <w:top w:val="single" w:sz="4" w:space="0" w:color="auto"/>
              <w:left w:val="nil"/>
              <w:bottom w:val="doub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31,5</w:t>
            </w:r>
          </w:p>
        </w:tc>
        <w:tc>
          <w:tcPr>
            <w:tcW w:w="1134" w:type="dxa"/>
            <w:tcBorders>
              <w:top w:val="single" w:sz="4" w:space="0" w:color="auto"/>
              <w:left w:val="nil"/>
              <w:bottom w:val="doub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35,1</w:t>
            </w:r>
          </w:p>
        </w:tc>
        <w:tc>
          <w:tcPr>
            <w:tcW w:w="1134" w:type="dxa"/>
            <w:tcBorders>
              <w:top w:val="single" w:sz="4" w:space="0" w:color="auto"/>
              <w:left w:val="nil"/>
              <w:bottom w:val="doub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41,7</w:t>
            </w:r>
          </w:p>
        </w:tc>
        <w:tc>
          <w:tcPr>
            <w:tcW w:w="1134" w:type="dxa"/>
            <w:tcBorders>
              <w:top w:val="single" w:sz="4" w:space="0" w:color="auto"/>
              <w:left w:val="nil"/>
              <w:bottom w:val="doub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28,4</w:t>
            </w:r>
          </w:p>
        </w:tc>
        <w:tc>
          <w:tcPr>
            <w:tcW w:w="927" w:type="dxa"/>
            <w:tcBorders>
              <w:top w:val="single" w:sz="4" w:space="0" w:color="auto"/>
              <w:left w:val="nil"/>
              <w:bottom w:val="double" w:sz="4" w:space="0" w:color="auto"/>
              <w:right w:val="double" w:sz="4" w:space="0" w:color="auto"/>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26,8</w:t>
            </w:r>
          </w:p>
        </w:tc>
      </w:tr>
    </w:tbl>
    <w:p w:rsidR="006010D0" w:rsidRPr="006010D0" w:rsidRDefault="006010D0" w:rsidP="006010D0">
      <w:pPr>
        <w:keepNext/>
        <w:keepLines/>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r w:rsidRPr="006010D0">
        <w:rPr>
          <w:rFonts w:ascii="Verdana" w:hAnsi="Verdana"/>
        </w:rPr>
        <w:t xml:space="preserve">En cuanto a la valoración de la representación según la edad (tabla 3.15), no existen diferencias significativas entre los diferentes grupos de edad. La </w:t>
      </w:r>
      <w:r w:rsidRPr="006010D0">
        <w:rPr>
          <w:rFonts w:ascii="Verdana" w:hAnsi="Verdana"/>
        </w:rPr>
        <w:lastRenderedPageBreak/>
        <w:t>satisfacción media es ligeramente mayor para los grupos de más edad, pero en cualquier caso esta diferencia no es significativa. Algo similar se aplica a otra variable individual como es el sexo, que tampoco presenta diferencias significativas en la valoración de la representación sindical en la empresa para los años 2007 y 2010.</w:t>
      </w:r>
    </w:p>
    <w:p w:rsidR="006010D0" w:rsidRPr="006010D0" w:rsidRDefault="006010D0" w:rsidP="006010D0">
      <w:pPr>
        <w:spacing w:line="240" w:lineRule="auto"/>
        <w:jc w:val="center"/>
        <w:rPr>
          <w:rFonts w:ascii="Verdana" w:hAnsi="Verdana"/>
        </w:rPr>
      </w:pPr>
    </w:p>
    <w:p w:rsidR="006010D0" w:rsidRPr="006010D0" w:rsidRDefault="006010D0" w:rsidP="006010D0">
      <w:pPr>
        <w:spacing w:line="240" w:lineRule="auto"/>
        <w:jc w:val="center"/>
        <w:rPr>
          <w:rFonts w:ascii="Verdana" w:hAnsi="Verdana"/>
        </w:rPr>
      </w:pPr>
      <w:r w:rsidRPr="006010D0">
        <w:rPr>
          <w:rFonts w:ascii="Verdana" w:hAnsi="Verdana"/>
        </w:rPr>
        <w:t>Tabla 3.15. Distribución de los trabajadores según valoración de la representación sindical y edad (en %)</w:t>
      </w:r>
    </w:p>
    <w:tbl>
      <w:tblPr>
        <w:tblW w:w="8480" w:type="dxa"/>
        <w:jc w:val="center"/>
        <w:tblInd w:w="70"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A0" w:firstRow="1" w:lastRow="0" w:firstColumn="1" w:lastColumn="0" w:noHBand="0" w:noVBand="0"/>
      </w:tblPr>
      <w:tblGrid>
        <w:gridCol w:w="1216"/>
        <w:gridCol w:w="1208"/>
        <w:gridCol w:w="1208"/>
        <w:gridCol w:w="1216"/>
        <w:gridCol w:w="1216"/>
        <w:gridCol w:w="1208"/>
        <w:gridCol w:w="1208"/>
      </w:tblGrid>
      <w:tr w:rsidR="006010D0" w:rsidRPr="006010D0" w:rsidTr="00111BCB">
        <w:trPr>
          <w:trHeight w:val="300"/>
          <w:jc w:val="center"/>
        </w:trPr>
        <w:tc>
          <w:tcPr>
            <w:tcW w:w="1216" w:type="dxa"/>
            <w:tcBorders>
              <w:top w:val="double" w:sz="4" w:space="0" w:color="auto"/>
              <w:left w:val="double" w:sz="4" w:space="0" w:color="auto"/>
              <w:bottom w:val="nil"/>
              <w:right w:val="nil"/>
            </w:tcBorders>
            <w:noWrap/>
            <w:vAlign w:val="bottom"/>
          </w:tcPr>
          <w:p w:rsidR="006010D0" w:rsidRPr="006010D0" w:rsidRDefault="006010D0" w:rsidP="006010D0">
            <w:pPr>
              <w:spacing w:line="240" w:lineRule="auto"/>
              <w:jc w:val="both"/>
              <w:rPr>
                <w:rFonts w:ascii="Verdana" w:hAnsi="Verdana"/>
                <w:color w:val="000000"/>
                <w:sz w:val="20"/>
                <w:szCs w:val="20"/>
                <w:lang w:eastAsia="es-ES"/>
              </w:rPr>
            </w:pPr>
          </w:p>
        </w:tc>
        <w:tc>
          <w:tcPr>
            <w:tcW w:w="2416" w:type="dxa"/>
            <w:gridSpan w:val="2"/>
            <w:tcBorders>
              <w:top w:val="double" w:sz="4" w:space="0" w:color="auto"/>
              <w:left w:val="nil"/>
              <w:bottom w:val="nil"/>
              <w:right w:val="nil"/>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Poco</w:t>
            </w:r>
            <w:proofErr w:type="spellEnd"/>
            <w:r w:rsidRPr="006010D0">
              <w:rPr>
                <w:rFonts w:ascii="Verdana" w:hAnsi="Verdana"/>
                <w:b/>
                <w:color w:val="000000"/>
                <w:sz w:val="20"/>
                <w:szCs w:val="20"/>
                <w:lang w:val="en-US" w:eastAsia="es-ES"/>
              </w:rPr>
              <w:t xml:space="preserve"> o nada </w:t>
            </w:r>
            <w:proofErr w:type="spellStart"/>
            <w:r w:rsidRPr="006010D0">
              <w:rPr>
                <w:rFonts w:ascii="Verdana" w:hAnsi="Verdana"/>
                <w:b/>
                <w:color w:val="000000"/>
                <w:sz w:val="20"/>
                <w:szCs w:val="20"/>
                <w:lang w:val="en-US" w:eastAsia="es-ES"/>
              </w:rPr>
              <w:t>satisfecho</w:t>
            </w:r>
            <w:proofErr w:type="spellEnd"/>
          </w:p>
        </w:tc>
        <w:tc>
          <w:tcPr>
            <w:tcW w:w="2432" w:type="dxa"/>
            <w:gridSpan w:val="2"/>
            <w:tcBorders>
              <w:top w:val="double" w:sz="4" w:space="0" w:color="auto"/>
              <w:left w:val="nil"/>
              <w:bottom w:val="nil"/>
              <w:right w:val="nil"/>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Satisfecho</w:t>
            </w:r>
            <w:proofErr w:type="spellEnd"/>
          </w:p>
        </w:tc>
        <w:tc>
          <w:tcPr>
            <w:tcW w:w="2416" w:type="dxa"/>
            <w:gridSpan w:val="2"/>
            <w:tcBorders>
              <w:top w:val="double" w:sz="4" w:space="0" w:color="auto"/>
              <w:left w:val="nil"/>
              <w:bottom w:val="nil"/>
              <w:right w:val="double" w:sz="4" w:space="0" w:color="auto"/>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Bastante</w:t>
            </w:r>
            <w:proofErr w:type="spellEnd"/>
            <w:r w:rsidRPr="006010D0">
              <w:rPr>
                <w:rFonts w:ascii="Verdana" w:hAnsi="Verdana"/>
                <w:b/>
                <w:color w:val="000000"/>
                <w:sz w:val="20"/>
                <w:szCs w:val="20"/>
                <w:lang w:val="en-US" w:eastAsia="es-ES"/>
              </w:rPr>
              <w:t xml:space="preserve"> y </w:t>
            </w:r>
            <w:proofErr w:type="spellStart"/>
            <w:r w:rsidRPr="006010D0">
              <w:rPr>
                <w:rFonts w:ascii="Verdana" w:hAnsi="Verdana"/>
                <w:b/>
                <w:color w:val="000000"/>
                <w:sz w:val="20"/>
                <w:szCs w:val="20"/>
                <w:lang w:val="en-US" w:eastAsia="es-ES"/>
              </w:rPr>
              <w:t>muy</w:t>
            </w:r>
            <w:proofErr w:type="spellEnd"/>
            <w:r w:rsidRPr="006010D0">
              <w:rPr>
                <w:rFonts w:ascii="Verdana" w:hAnsi="Verdana"/>
                <w:b/>
                <w:color w:val="000000"/>
                <w:sz w:val="20"/>
                <w:szCs w:val="20"/>
                <w:lang w:val="en-US" w:eastAsia="es-ES"/>
              </w:rPr>
              <w:t xml:space="preserve"> </w:t>
            </w:r>
            <w:proofErr w:type="spellStart"/>
            <w:r w:rsidRPr="006010D0">
              <w:rPr>
                <w:rFonts w:ascii="Verdana" w:hAnsi="Verdana"/>
                <w:b/>
                <w:color w:val="000000"/>
                <w:sz w:val="20"/>
                <w:szCs w:val="20"/>
                <w:lang w:val="en-US" w:eastAsia="es-ES"/>
              </w:rPr>
              <w:t>satisfecho</w:t>
            </w:r>
            <w:proofErr w:type="spellEnd"/>
          </w:p>
        </w:tc>
      </w:tr>
      <w:tr w:rsidR="006010D0" w:rsidRPr="006010D0" w:rsidTr="00111BCB">
        <w:trPr>
          <w:trHeight w:val="300"/>
          <w:jc w:val="center"/>
        </w:trPr>
        <w:tc>
          <w:tcPr>
            <w:tcW w:w="1216" w:type="dxa"/>
            <w:tcBorders>
              <w:top w:val="nil"/>
              <w:left w:val="double" w:sz="4" w:space="0" w:color="auto"/>
              <w:bottom w:val="nil"/>
              <w:right w:val="nil"/>
            </w:tcBorders>
            <w:noWrap/>
            <w:vAlign w:val="bottom"/>
          </w:tcPr>
          <w:p w:rsidR="006010D0" w:rsidRPr="006010D0" w:rsidRDefault="006010D0" w:rsidP="006010D0">
            <w:pPr>
              <w:spacing w:line="240" w:lineRule="auto"/>
              <w:jc w:val="both"/>
              <w:rPr>
                <w:rFonts w:ascii="Verdana" w:hAnsi="Verdana"/>
                <w:color w:val="000000"/>
                <w:sz w:val="20"/>
                <w:szCs w:val="20"/>
                <w:lang w:val="en-US" w:eastAsia="es-ES"/>
              </w:rPr>
            </w:pPr>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2007</w:t>
            </w:r>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2010</w:t>
            </w:r>
          </w:p>
        </w:tc>
        <w:tc>
          <w:tcPr>
            <w:tcW w:w="1216"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2007</w:t>
            </w:r>
          </w:p>
        </w:tc>
        <w:tc>
          <w:tcPr>
            <w:tcW w:w="1216"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2010</w:t>
            </w:r>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2007</w:t>
            </w:r>
          </w:p>
        </w:tc>
        <w:tc>
          <w:tcPr>
            <w:tcW w:w="1208" w:type="dxa"/>
            <w:tcBorders>
              <w:top w:val="nil"/>
              <w:left w:val="nil"/>
              <w:bottom w:val="nil"/>
              <w:right w:val="double" w:sz="4" w:space="0" w:color="auto"/>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2010</w:t>
            </w:r>
          </w:p>
        </w:tc>
      </w:tr>
      <w:tr w:rsidR="006010D0" w:rsidRPr="006010D0" w:rsidTr="00111BCB">
        <w:trPr>
          <w:trHeight w:val="300"/>
          <w:jc w:val="center"/>
        </w:trPr>
        <w:tc>
          <w:tcPr>
            <w:tcW w:w="1216" w:type="dxa"/>
            <w:tcBorders>
              <w:top w:val="nil"/>
              <w:left w:val="double" w:sz="4" w:space="0" w:color="auto"/>
              <w:bottom w:val="nil"/>
              <w:right w:val="nil"/>
            </w:tcBorders>
            <w:noWrap/>
            <w:vAlign w:val="bottom"/>
          </w:tcPr>
          <w:p w:rsidR="006010D0" w:rsidRPr="006010D0" w:rsidRDefault="006010D0" w:rsidP="006010D0">
            <w:pPr>
              <w:spacing w:line="240" w:lineRule="auto"/>
              <w:jc w:val="both"/>
              <w:rPr>
                <w:rFonts w:ascii="Verdana" w:hAnsi="Verdana"/>
                <w:color w:val="000000"/>
                <w:sz w:val="20"/>
                <w:szCs w:val="20"/>
                <w:lang w:val="en-US" w:eastAsia="es-ES"/>
              </w:rPr>
            </w:pPr>
            <w:smartTag w:uri="urn:schemas-microsoft-com:office:smarttags" w:element="metricconverter">
              <w:smartTagPr>
                <w:attr w:name="ProductID" w:val="19 a"/>
              </w:smartTagPr>
              <w:r w:rsidRPr="006010D0">
                <w:rPr>
                  <w:rFonts w:ascii="Verdana" w:hAnsi="Verdana"/>
                  <w:color w:val="000000"/>
                  <w:sz w:val="20"/>
                  <w:szCs w:val="20"/>
                  <w:lang w:val="en-US" w:eastAsia="es-ES"/>
                </w:rPr>
                <w:t>19 a</w:t>
              </w:r>
            </w:smartTag>
            <w:r w:rsidRPr="006010D0">
              <w:rPr>
                <w:rFonts w:ascii="Verdana" w:hAnsi="Verdana"/>
                <w:color w:val="000000"/>
                <w:sz w:val="20"/>
                <w:szCs w:val="20"/>
                <w:lang w:val="en-US" w:eastAsia="es-ES"/>
              </w:rPr>
              <w:t xml:space="preserve"> 34</w:t>
            </w:r>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38,2</w:t>
            </w:r>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31,9</w:t>
            </w:r>
          </w:p>
        </w:tc>
        <w:tc>
          <w:tcPr>
            <w:tcW w:w="1216"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34,9</w:t>
            </w:r>
          </w:p>
        </w:tc>
        <w:tc>
          <w:tcPr>
            <w:tcW w:w="1216"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40,9</w:t>
            </w:r>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26,9</w:t>
            </w:r>
          </w:p>
        </w:tc>
        <w:tc>
          <w:tcPr>
            <w:tcW w:w="1208" w:type="dxa"/>
            <w:tcBorders>
              <w:top w:val="nil"/>
              <w:left w:val="nil"/>
              <w:bottom w:val="nil"/>
              <w:right w:val="double" w:sz="4" w:space="0" w:color="auto"/>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27,2</w:t>
            </w:r>
          </w:p>
        </w:tc>
      </w:tr>
      <w:tr w:rsidR="006010D0" w:rsidRPr="006010D0" w:rsidTr="00111BCB">
        <w:trPr>
          <w:trHeight w:val="300"/>
          <w:jc w:val="center"/>
        </w:trPr>
        <w:tc>
          <w:tcPr>
            <w:tcW w:w="1216" w:type="dxa"/>
            <w:tcBorders>
              <w:top w:val="nil"/>
              <w:left w:val="double" w:sz="4" w:space="0" w:color="auto"/>
              <w:bottom w:val="nil"/>
              <w:right w:val="nil"/>
            </w:tcBorders>
            <w:noWrap/>
            <w:vAlign w:val="bottom"/>
          </w:tcPr>
          <w:p w:rsidR="006010D0" w:rsidRPr="006010D0" w:rsidRDefault="006010D0" w:rsidP="006010D0">
            <w:pPr>
              <w:spacing w:line="240" w:lineRule="auto"/>
              <w:jc w:val="both"/>
              <w:rPr>
                <w:rFonts w:ascii="Verdana" w:hAnsi="Verdana"/>
                <w:color w:val="000000"/>
                <w:sz w:val="20"/>
                <w:szCs w:val="20"/>
                <w:lang w:val="en-US" w:eastAsia="es-ES"/>
              </w:rPr>
            </w:pPr>
            <w:smartTag w:uri="urn:schemas-microsoft-com:office:smarttags" w:element="metricconverter">
              <w:smartTagPr>
                <w:attr w:name="ProductID" w:val="35 a"/>
              </w:smartTagPr>
              <w:r w:rsidRPr="006010D0">
                <w:rPr>
                  <w:rFonts w:ascii="Verdana" w:hAnsi="Verdana"/>
                  <w:color w:val="000000"/>
                  <w:sz w:val="20"/>
                  <w:szCs w:val="20"/>
                  <w:lang w:val="en-US" w:eastAsia="es-ES"/>
                </w:rPr>
                <w:t>35 a</w:t>
              </w:r>
            </w:smartTag>
            <w:r w:rsidRPr="006010D0">
              <w:rPr>
                <w:rFonts w:ascii="Verdana" w:hAnsi="Verdana"/>
                <w:color w:val="000000"/>
                <w:sz w:val="20"/>
                <w:szCs w:val="20"/>
                <w:lang w:val="en-US" w:eastAsia="es-ES"/>
              </w:rPr>
              <w:t xml:space="preserve"> 49</w:t>
            </w:r>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35,9</w:t>
            </w:r>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31,8</w:t>
            </w:r>
          </w:p>
        </w:tc>
        <w:tc>
          <w:tcPr>
            <w:tcW w:w="1216"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34,6</w:t>
            </w:r>
          </w:p>
        </w:tc>
        <w:tc>
          <w:tcPr>
            <w:tcW w:w="1216"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41,2</w:t>
            </w:r>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29,5</w:t>
            </w:r>
          </w:p>
        </w:tc>
        <w:tc>
          <w:tcPr>
            <w:tcW w:w="1208" w:type="dxa"/>
            <w:tcBorders>
              <w:top w:val="nil"/>
              <w:left w:val="nil"/>
              <w:bottom w:val="nil"/>
              <w:right w:val="double" w:sz="4" w:space="0" w:color="auto"/>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27,0</w:t>
            </w:r>
          </w:p>
        </w:tc>
      </w:tr>
      <w:tr w:rsidR="006010D0" w:rsidRPr="006010D0" w:rsidTr="00111BCB">
        <w:trPr>
          <w:trHeight w:val="300"/>
          <w:jc w:val="center"/>
        </w:trPr>
        <w:tc>
          <w:tcPr>
            <w:tcW w:w="1216" w:type="dxa"/>
            <w:tcBorders>
              <w:top w:val="nil"/>
              <w:left w:val="double" w:sz="4" w:space="0" w:color="auto"/>
              <w:bottom w:val="nil"/>
              <w:right w:val="nil"/>
            </w:tcBorders>
            <w:noWrap/>
            <w:vAlign w:val="bottom"/>
          </w:tcPr>
          <w:p w:rsidR="006010D0" w:rsidRPr="006010D0" w:rsidRDefault="006010D0" w:rsidP="006010D0">
            <w:pPr>
              <w:spacing w:line="240" w:lineRule="auto"/>
              <w:jc w:val="both"/>
              <w:rPr>
                <w:rFonts w:ascii="Verdana" w:hAnsi="Verdana"/>
                <w:color w:val="000000"/>
                <w:sz w:val="20"/>
                <w:szCs w:val="20"/>
                <w:lang w:val="en-US" w:eastAsia="es-ES"/>
              </w:rPr>
            </w:pPr>
            <w:r w:rsidRPr="006010D0">
              <w:rPr>
                <w:rFonts w:ascii="Verdana" w:hAnsi="Verdana"/>
                <w:color w:val="000000"/>
                <w:sz w:val="20"/>
                <w:szCs w:val="20"/>
                <w:lang w:val="en-US" w:eastAsia="es-ES"/>
              </w:rPr>
              <w:t xml:space="preserve">50 o </w:t>
            </w:r>
            <w:proofErr w:type="spellStart"/>
            <w:r w:rsidRPr="006010D0">
              <w:rPr>
                <w:rFonts w:ascii="Verdana" w:hAnsi="Verdana"/>
                <w:color w:val="000000"/>
                <w:sz w:val="20"/>
                <w:szCs w:val="20"/>
                <w:lang w:val="en-US" w:eastAsia="es-ES"/>
              </w:rPr>
              <w:t>más</w:t>
            </w:r>
            <w:proofErr w:type="spellEnd"/>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35,5</w:t>
            </w:r>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30,5</w:t>
            </w:r>
          </w:p>
        </w:tc>
        <w:tc>
          <w:tcPr>
            <w:tcW w:w="1216"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36,6</w:t>
            </w:r>
          </w:p>
        </w:tc>
        <w:tc>
          <w:tcPr>
            <w:tcW w:w="1216"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43,3</w:t>
            </w:r>
          </w:p>
        </w:tc>
        <w:tc>
          <w:tcPr>
            <w:tcW w:w="1208" w:type="dxa"/>
            <w:tcBorders>
              <w:top w:val="nil"/>
              <w:left w:val="nil"/>
              <w:bottom w:val="nil"/>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27,9</w:t>
            </w:r>
          </w:p>
        </w:tc>
        <w:tc>
          <w:tcPr>
            <w:tcW w:w="1208" w:type="dxa"/>
            <w:tcBorders>
              <w:top w:val="nil"/>
              <w:left w:val="nil"/>
              <w:bottom w:val="nil"/>
              <w:right w:val="double" w:sz="4" w:space="0" w:color="auto"/>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26,2</w:t>
            </w:r>
          </w:p>
        </w:tc>
      </w:tr>
      <w:tr w:rsidR="006010D0" w:rsidRPr="006010D0" w:rsidTr="00111BCB">
        <w:trPr>
          <w:trHeight w:val="300"/>
          <w:jc w:val="center"/>
        </w:trPr>
        <w:tc>
          <w:tcPr>
            <w:tcW w:w="1216" w:type="dxa"/>
            <w:tcBorders>
              <w:top w:val="nil"/>
              <w:left w:val="double" w:sz="4" w:space="0" w:color="auto"/>
              <w:bottom w:val="double" w:sz="4" w:space="0" w:color="auto"/>
              <w:right w:val="nil"/>
            </w:tcBorders>
            <w:noWrap/>
            <w:vAlign w:val="bottom"/>
          </w:tcPr>
          <w:p w:rsidR="006010D0" w:rsidRPr="006010D0" w:rsidRDefault="006010D0" w:rsidP="006010D0">
            <w:pPr>
              <w:spacing w:line="240" w:lineRule="auto"/>
              <w:jc w:val="both"/>
              <w:rPr>
                <w:rFonts w:ascii="Verdana" w:hAnsi="Verdana"/>
                <w:color w:val="000000"/>
                <w:sz w:val="20"/>
                <w:szCs w:val="20"/>
                <w:lang w:val="en-US" w:eastAsia="es-ES"/>
              </w:rPr>
            </w:pPr>
            <w:r w:rsidRPr="006010D0">
              <w:rPr>
                <w:rFonts w:ascii="Verdana" w:hAnsi="Verdana"/>
                <w:color w:val="000000"/>
                <w:sz w:val="20"/>
                <w:szCs w:val="20"/>
                <w:lang w:val="en-US" w:eastAsia="es-ES"/>
              </w:rPr>
              <w:t>Total</w:t>
            </w:r>
          </w:p>
        </w:tc>
        <w:tc>
          <w:tcPr>
            <w:tcW w:w="1208" w:type="dxa"/>
            <w:tcBorders>
              <w:top w:val="nil"/>
              <w:left w:val="nil"/>
              <w:bottom w:val="double" w:sz="4" w:space="0" w:color="auto"/>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36,5</w:t>
            </w:r>
          </w:p>
        </w:tc>
        <w:tc>
          <w:tcPr>
            <w:tcW w:w="1208" w:type="dxa"/>
            <w:tcBorders>
              <w:top w:val="nil"/>
              <w:left w:val="nil"/>
              <w:bottom w:val="double" w:sz="4" w:space="0" w:color="auto"/>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31,4</w:t>
            </w:r>
          </w:p>
        </w:tc>
        <w:tc>
          <w:tcPr>
            <w:tcW w:w="1216" w:type="dxa"/>
            <w:tcBorders>
              <w:top w:val="nil"/>
              <w:left w:val="nil"/>
              <w:bottom w:val="double" w:sz="4" w:space="0" w:color="auto"/>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35,2</w:t>
            </w:r>
          </w:p>
        </w:tc>
        <w:tc>
          <w:tcPr>
            <w:tcW w:w="1216" w:type="dxa"/>
            <w:tcBorders>
              <w:top w:val="nil"/>
              <w:left w:val="nil"/>
              <w:bottom w:val="double" w:sz="4" w:space="0" w:color="auto"/>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41,7</w:t>
            </w:r>
          </w:p>
        </w:tc>
        <w:tc>
          <w:tcPr>
            <w:tcW w:w="1208" w:type="dxa"/>
            <w:tcBorders>
              <w:top w:val="nil"/>
              <w:left w:val="nil"/>
              <w:bottom w:val="double" w:sz="4" w:space="0" w:color="auto"/>
              <w:right w:val="nil"/>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28,4</w:t>
            </w:r>
          </w:p>
        </w:tc>
        <w:tc>
          <w:tcPr>
            <w:tcW w:w="1208" w:type="dxa"/>
            <w:tcBorders>
              <w:top w:val="nil"/>
              <w:left w:val="nil"/>
              <w:bottom w:val="double" w:sz="4" w:space="0" w:color="auto"/>
              <w:right w:val="double" w:sz="4" w:space="0" w:color="auto"/>
            </w:tcBorders>
            <w:noWrap/>
            <w:vAlign w:val="bottom"/>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26,8</w:t>
            </w:r>
          </w:p>
        </w:tc>
      </w:tr>
    </w:tbl>
    <w:p w:rsidR="006010D0" w:rsidRPr="006010D0" w:rsidRDefault="006010D0" w:rsidP="006010D0">
      <w:pPr>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r w:rsidRPr="006010D0">
        <w:rPr>
          <w:rFonts w:ascii="Verdana" w:hAnsi="Verdana"/>
        </w:rPr>
        <w:t>Teniendo en cuenta el nivel educativo (ver tabla 3.16), de la observación de los datos se desprende que los trabajadores con nivel formativo medio (educación secundaria y formación profesional de grado medio) tienen una valoración más positiva de la representación sindical en la empresa. En el año 2007 puede apreciarse una valoración negativa relativamente más significativa entre los trabajadores con nivel formativo más bajo; sin embargo, estas diferencias dejan de ser importantes en el año 2010.</w:t>
      </w:r>
    </w:p>
    <w:p w:rsidR="006010D0" w:rsidRPr="006010D0" w:rsidRDefault="006010D0" w:rsidP="006010D0">
      <w:pPr>
        <w:keepNext/>
        <w:keepLines/>
        <w:spacing w:line="240" w:lineRule="auto"/>
        <w:jc w:val="center"/>
        <w:rPr>
          <w:rFonts w:ascii="Verdana" w:hAnsi="Verdana"/>
        </w:rPr>
      </w:pPr>
      <w:r w:rsidRPr="006010D0">
        <w:rPr>
          <w:rFonts w:ascii="Verdana" w:hAnsi="Verdana"/>
        </w:rPr>
        <w:t>Tabla 3.16. Distribución de los trabajadores según valoración de la representación sindical y nivel formativo (en %)</w:t>
      </w:r>
    </w:p>
    <w:tbl>
      <w:tblPr>
        <w:tblW w:w="0" w:type="auto"/>
        <w:jc w:val="center"/>
        <w:tblInd w:w="70"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A0" w:firstRow="1" w:lastRow="0" w:firstColumn="1" w:lastColumn="0" w:noHBand="0" w:noVBand="0"/>
      </w:tblPr>
      <w:tblGrid>
        <w:gridCol w:w="3415"/>
        <w:gridCol w:w="703"/>
        <w:gridCol w:w="838"/>
        <w:gridCol w:w="864"/>
        <w:gridCol w:w="703"/>
        <w:gridCol w:w="1348"/>
        <w:gridCol w:w="703"/>
      </w:tblGrid>
      <w:tr w:rsidR="006010D0" w:rsidRPr="006010D0" w:rsidTr="00111BCB">
        <w:trPr>
          <w:trHeight w:val="300"/>
          <w:jc w:val="center"/>
        </w:trPr>
        <w:tc>
          <w:tcPr>
            <w:tcW w:w="0" w:type="auto"/>
            <w:tcBorders>
              <w:top w:val="double" w:sz="4" w:space="0" w:color="auto"/>
              <w:left w:val="double" w:sz="4" w:space="0" w:color="auto"/>
              <w:bottom w:val="nil"/>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eastAsia="es-ES"/>
              </w:rPr>
            </w:pPr>
          </w:p>
        </w:tc>
        <w:tc>
          <w:tcPr>
            <w:tcW w:w="1412" w:type="dxa"/>
            <w:gridSpan w:val="2"/>
            <w:tcBorders>
              <w:top w:val="double" w:sz="4" w:space="0" w:color="auto"/>
              <w:left w:val="nil"/>
              <w:bottom w:val="nil"/>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Poco</w:t>
            </w:r>
            <w:proofErr w:type="spellEnd"/>
            <w:r w:rsidRPr="006010D0">
              <w:rPr>
                <w:rFonts w:ascii="Verdana" w:hAnsi="Verdana"/>
                <w:b/>
                <w:color w:val="000000"/>
                <w:sz w:val="20"/>
                <w:szCs w:val="20"/>
                <w:lang w:val="en-US" w:eastAsia="es-ES"/>
              </w:rPr>
              <w:t xml:space="preserve"> o nada </w:t>
            </w:r>
            <w:proofErr w:type="spellStart"/>
            <w:r w:rsidRPr="006010D0">
              <w:rPr>
                <w:rFonts w:ascii="Verdana" w:hAnsi="Verdana"/>
                <w:b/>
                <w:color w:val="000000"/>
                <w:sz w:val="20"/>
                <w:szCs w:val="20"/>
                <w:lang w:val="en-US" w:eastAsia="es-ES"/>
              </w:rPr>
              <w:t>satisfecho</w:t>
            </w:r>
            <w:proofErr w:type="spellEnd"/>
          </w:p>
        </w:tc>
        <w:tc>
          <w:tcPr>
            <w:tcW w:w="1532" w:type="dxa"/>
            <w:gridSpan w:val="2"/>
            <w:tcBorders>
              <w:top w:val="double" w:sz="4" w:space="0" w:color="auto"/>
              <w:left w:val="nil"/>
              <w:bottom w:val="nil"/>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Satisfecho</w:t>
            </w:r>
            <w:proofErr w:type="spellEnd"/>
          </w:p>
        </w:tc>
        <w:tc>
          <w:tcPr>
            <w:tcW w:w="1877" w:type="dxa"/>
            <w:gridSpan w:val="2"/>
            <w:tcBorders>
              <w:top w:val="double" w:sz="4" w:space="0" w:color="auto"/>
              <w:left w:val="nil"/>
              <w:bottom w:val="nil"/>
              <w:right w:val="double" w:sz="4" w:space="0" w:color="auto"/>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Bastante</w:t>
            </w:r>
            <w:proofErr w:type="spellEnd"/>
            <w:r w:rsidRPr="006010D0">
              <w:rPr>
                <w:rFonts w:ascii="Verdana" w:hAnsi="Verdana"/>
                <w:b/>
                <w:color w:val="000000"/>
                <w:sz w:val="20"/>
                <w:szCs w:val="20"/>
                <w:lang w:val="en-US" w:eastAsia="es-ES"/>
              </w:rPr>
              <w:t xml:space="preserve"> y </w:t>
            </w:r>
            <w:proofErr w:type="spellStart"/>
            <w:r w:rsidRPr="006010D0">
              <w:rPr>
                <w:rFonts w:ascii="Verdana" w:hAnsi="Verdana"/>
                <w:b/>
                <w:color w:val="000000"/>
                <w:sz w:val="20"/>
                <w:szCs w:val="20"/>
                <w:lang w:val="en-US" w:eastAsia="es-ES"/>
              </w:rPr>
              <w:t>muy</w:t>
            </w:r>
            <w:proofErr w:type="spellEnd"/>
            <w:r w:rsidRPr="006010D0">
              <w:rPr>
                <w:rFonts w:ascii="Verdana" w:hAnsi="Verdana"/>
                <w:b/>
                <w:color w:val="000000"/>
                <w:sz w:val="20"/>
                <w:szCs w:val="20"/>
                <w:lang w:val="en-US" w:eastAsia="es-ES"/>
              </w:rPr>
              <w:t xml:space="preserve"> </w:t>
            </w:r>
            <w:proofErr w:type="spellStart"/>
            <w:r w:rsidRPr="006010D0">
              <w:rPr>
                <w:rFonts w:ascii="Verdana" w:hAnsi="Verdana"/>
                <w:b/>
                <w:color w:val="000000"/>
                <w:sz w:val="20"/>
                <w:szCs w:val="20"/>
                <w:lang w:val="en-US" w:eastAsia="es-ES"/>
              </w:rPr>
              <w:t>satisfecho</w:t>
            </w:r>
            <w:proofErr w:type="spellEnd"/>
          </w:p>
        </w:tc>
      </w:tr>
      <w:tr w:rsidR="006010D0" w:rsidRPr="006010D0" w:rsidTr="00111BCB">
        <w:trPr>
          <w:trHeight w:val="300"/>
          <w:jc w:val="center"/>
        </w:trPr>
        <w:tc>
          <w:tcPr>
            <w:tcW w:w="0" w:type="auto"/>
            <w:tcBorders>
              <w:top w:val="nil"/>
              <w:left w:val="double" w:sz="4" w:space="0" w:color="auto"/>
              <w:bottom w:val="nil"/>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val="en-US" w:eastAsia="es-ES"/>
              </w:rPr>
            </w:pPr>
          </w:p>
        </w:tc>
        <w:tc>
          <w:tcPr>
            <w:tcW w:w="0" w:type="auto"/>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2007</w:t>
            </w:r>
          </w:p>
        </w:tc>
        <w:tc>
          <w:tcPr>
            <w:tcW w:w="846"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2010</w:t>
            </w:r>
          </w:p>
        </w:tc>
        <w:tc>
          <w:tcPr>
            <w:tcW w:w="87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2007</w:t>
            </w:r>
          </w:p>
        </w:tc>
        <w:tc>
          <w:tcPr>
            <w:tcW w:w="660"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2010</w:t>
            </w:r>
          </w:p>
        </w:tc>
        <w:tc>
          <w:tcPr>
            <w:tcW w:w="136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2007</w:t>
            </w:r>
          </w:p>
        </w:tc>
        <w:tc>
          <w:tcPr>
            <w:tcW w:w="515" w:type="dxa"/>
            <w:tcBorders>
              <w:top w:val="nil"/>
              <w:left w:val="nil"/>
              <w:bottom w:val="nil"/>
              <w:right w:val="double" w:sz="4" w:space="0" w:color="auto"/>
            </w:tcBorders>
            <w:noWrap/>
            <w:vAlign w:val="bottom"/>
          </w:tcPr>
          <w:p w:rsidR="006010D0" w:rsidRPr="006010D0" w:rsidRDefault="006010D0" w:rsidP="006010D0">
            <w:pPr>
              <w:keepNext/>
              <w:keepLines/>
              <w:spacing w:line="240" w:lineRule="auto"/>
              <w:jc w:val="center"/>
              <w:rPr>
                <w:rFonts w:ascii="Verdana" w:hAnsi="Verdana"/>
                <w:b/>
                <w:color w:val="000000"/>
                <w:sz w:val="20"/>
                <w:szCs w:val="20"/>
                <w:lang w:val="en-US" w:eastAsia="es-ES"/>
              </w:rPr>
            </w:pPr>
            <w:r w:rsidRPr="006010D0">
              <w:rPr>
                <w:rFonts w:ascii="Verdana" w:hAnsi="Verdana"/>
                <w:b/>
                <w:color w:val="000000"/>
                <w:sz w:val="20"/>
                <w:szCs w:val="20"/>
                <w:lang w:val="en-US" w:eastAsia="es-ES"/>
              </w:rPr>
              <w:t>2010</w:t>
            </w:r>
          </w:p>
        </w:tc>
      </w:tr>
      <w:tr w:rsidR="006010D0" w:rsidRPr="006010D0" w:rsidTr="00111BCB">
        <w:trPr>
          <w:trHeight w:val="300"/>
          <w:jc w:val="center"/>
        </w:trPr>
        <w:tc>
          <w:tcPr>
            <w:tcW w:w="0" w:type="auto"/>
            <w:tcBorders>
              <w:top w:val="nil"/>
              <w:left w:val="double" w:sz="4" w:space="0" w:color="auto"/>
              <w:bottom w:val="nil"/>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olor w:val="000000"/>
                <w:sz w:val="20"/>
                <w:szCs w:val="20"/>
                <w:lang w:val="en-US" w:eastAsia="es-ES"/>
              </w:rPr>
              <w:t xml:space="preserve">Sin </w:t>
            </w:r>
            <w:proofErr w:type="spellStart"/>
            <w:r w:rsidRPr="006010D0">
              <w:rPr>
                <w:rFonts w:ascii="Verdana" w:hAnsi="Verdana"/>
                <w:color w:val="000000"/>
                <w:sz w:val="20"/>
                <w:szCs w:val="20"/>
                <w:lang w:val="en-US" w:eastAsia="es-ES"/>
              </w:rPr>
              <w:t>estudios</w:t>
            </w:r>
            <w:proofErr w:type="spellEnd"/>
            <w:r w:rsidRPr="006010D0">
              <w:rPr>
                <w:rFonts w:ascii="Verdana" w:hAnsi="Verdana"/>
                <w:color w:val="000000"/>
                <w:sz w:val="20"/>
                <w:szCs w:val="20"/>
                <w:lang w:val="en-US" w:eastAsia="es-ES"/>
              </w:rPr>
              <w:t xml:space="preserve"> y </w:t>
            </w:r>
            <w:proofErr w:type="spellStart"/>
            <w:r w:rsidRPr="006010D0">
              <w:rPr>
                <w:rFonts w:ascii="Verdana" w:hAnsi="Verdana"/>
                <w:color w:val="000000"/>
                <w:sz w:val="20"/>
                <w:szCs w:val="20"/>
                <w:lang w:val="en-US" w:eastAsia="es-ES"/>
              </w:rPr>
              <w:t>primaria</w:t>
            </w:r>
            <w:proofErr w:type="spellEnd"/>
          </w:p>
        </w:tc>
        <w:tc>
          <w:tcPr>
            <w:tcW w:w="0" w:type="auto"/>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44,0</w:t>
            </w:r>
          </w:p>
        </w:tc>
        <w:tc>
          <w:tcPr>
            <w:tcW w:w="846"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31,3</w:t>
            </w:r>
          </w:p>
        </w:tc>
        <w:tc>
          <w:tcPr>
            <w:tcW w:w="87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31,0</w:t>
            </w:r>
          </w:p>
        </w:tc>
        <w:tc>
          <w:tcPr>
            <w:tcW w:w="660"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44,1</w:t>
            </w:r>
          </w:p>
        </w:tc>
        <w:tc>
          <w:tcPr>
            <w:tcW w:w="136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25,0</w:t>
            </w:r>
          </w:p>
        </w:tc>
        <w:tc>
          <w:tcPr>
            <w:tcW w:w="515" w:type="dxa"/>
            <w:tcBorders>
              <w:top w:val="nil"/>
              <w:left w:val="nil"/>
              <w:bottom w:val="nil"/>
              <w:right w:val="double" w:sz="4" w:space="0" w:color="auto"/>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24,6</w:t>
            </w:r>
          </w:p>
        </w:tc>
      </w:tr>
      <w:tr w:rsidR="006010D0" w:rsidRPr="006010D0" w:rsidTr="00111BCB">
        <w:trPr>
          <w:trHeight w:val="300"/>
          <w:jc w:val="center"/>
        </w:trPr>
        <w:tc>
          <w:tcPr>
            <w:tcW w:w="0" w:type="auto"/>
            <w:tcBorders>
              <w:top w:val="nil"/>
              <w:left w:val="double" w:sz="4" w:space="0" w:color="auto"/>
              <w:bottom w:val="nil"/>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val="en-US" w:eastAsia="es-ES"/>
              </w:rPr>
            </w:pPr>
            <w:proofErr w:type="spellStart"/>
            <w:r w:rsidRPr="006010D0">
              <w:rPr>
                <w:rFonts w:ascii="Verdana" w:hAnsi="Verdana"/>
                <w:color w:val="000000"/>
                <w:sz w:val="20"/>
                <w:szCs w:val="20"/>
                <w:lang w:val="en-US" w:eastAsia="es-ES"/>
              </w:rPr>
              <w:t>Secundaria</w:t>
            </w:r>
            <w:proofErr w:type="spellEnd"/>
          </w:p>
        </w:tc>
        <w:tc>
          <w:tcPr>
            <w:tcW w:w="0" w:type="auto"/>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36,4</w:t>
            </w:r>
          </w:p>
        </w:tc>
        <w:tc>
          <w:tcPr>
            <w:tcW w:w="846"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31,8</w:t>
            </w:r>
          </w:p>
        </w:tc>
        <w:tc>
          <w:tcPr>
            <w:tcW w:w="87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33,2</w:t>
            </w:r>
          </w:p>
        </w:tc>
        <w:tc>
          <w:tcPr>
            <w:tcW w:w="660"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40,4</w:t>
            </w:r>
          </w:p>
        </w:tc>
        <w:tc>
          <w:tcPr>
            <w:tcW w:w="136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30,4</w:t>
            </w:r>
          </w:p>
        </w:tc>
        <w:tc>
          <w:tcPr>
            <w:tcW w:w="515" w:type="dxa"/>
            <w:tcBorders>
              <w:top w:val="nil"/>
              <w:left w:val="nil"/>
              <w:bottom w:val="nil"/>
              <w:right w:val="double" w:sz="4" w:space="0" w:color="auto"/>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27,8</w:t>
            </w:r>
          </w:p>
        </w:tc>
      </w:tr>
      <w:tr w:rsidR="006010D0" w:rsidRPr="006010D0" w:rsidTr="00111BCB">
        <w:trPr>
          <w:trHeight w:val="300"/>
          <w:jc w:val="center"/>
        </w:trPr>
        <w:tc>
          <w:tcPr>
            <w:tcW w:w="0" w:type="auto"/>
            <w:tcBorders>
              <w:top w:val="nil"/>
              <w:left w:val="double" w:sz="4" w:space="0" w:color="auto"/>
              <w:bottom w:val="nil"/>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eastAsia="es-ES"/>
              </w:rPr>
            </w:pPr>
            <w:r w:rsidRPr="006010D0">
              <w:rPr>
                <w:rFonts w:ascii="Verdana" w:hAnsi="Verdana"/>
                <w:color w:val="000000"/>
                <w:sz w:val="20"/>
                <w:szCs w:val="20"/>
                <w:lang w:eastAsia="es-ES"/>
              </w:rPr>
              <w:t>Grado superior FP y universitaria</w:t>
            </w:r>
          </w:p>
        </w:tc>
        <w:tc>
          <w:tcPr>
            <w:tcW w:w="0" w:type="auto"/>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30,9</w:t>
            </w:r>
          </w:p>
        </w:tc>
        <w:tc>
          <w:tcPr>
            <w:tcW w:w="846"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30,9</w:t>
            </w:r>
          </w:p>
        </w:tc>
        <w:tc>
          <w:tcPr>
            <w:tcW w:w="87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42,0</w:t>
            </w:r>
          </w:p>
        </w:tc>
        <w:tc>
          <w:tcPr>
            <w:tcW w:w="660"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43,1</w:t>
            </w:r>
          </w:p>
        </w:tc>
        <w:tc>
          <w:tcPr>
            <w:tcW w:w="1362" w:type="dxa"/>
            <w:tcBorders>
              <w:top w:val="nil"/>
              <w:left w:val="nil"/>
              <w:bottom w:val="nil"/>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27,2</w:t>
            </w:r>
          </w:p>
        </w:tc>
        <w:tc>
          <w:tcPr>
            <w:tcW w:w="515" w:type="dxa"/>
            <w:tcBorders>
              <w:top w:val="nil"/>
              <w:left w:val="nil"/>
              <w:bottom w:val="nil"/>
              <w:right w:val="double" w:sz="4" w:space="0" w:color="auto"/>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26,0</w:t>
            </w:r>
          </w:p>
        </w:tc>
      </w:tr>
      <w:tr w:rsidR="006010D0" w:rsidRPr="006010D0" w:rsidTr="00111BCB">
        <w:trPr>
          <w:trHeight w:val="300"/>
          <w:jc w:val="center"/>
        </w:trPr>
        <w:tc>
          <w:tcPr>
            <w:tcW w:w="0" w:type="auto"/>
            <w:tcBorders>
              <w:top w:val="nil"/>
              <w:left w:val="double" w:sz="4" w:space="0" w:color="auto"/>
              <w:bottom w:val="double" w:sz="4" w:space="0" w:color="auto"/>
              <w:right w:val="nil"/>
            </w:tcBorders>
            <w:noWrap/>
            <w:vAlign w:val="bottom"/>
          </w:tcPr>
          <w:p w:rsidR="006010D0" w:rsidRPr="006010D0" w:rsidRDefault="006010D0" w:rsidP="006010D0">
            <w:pPr>
              <w:keepNext/>
              <w:keepLines/>
              <w:spacing w:line="240" w:lineRule="auto"/>
              <w:jc w:val="both"/>
              <w:rPr>
                <w:rFonts w:ascii="Verdana" w:hAnsi="Verdana"/>
                <w:color w:val="000000"/>
                <w:sz w:val="20"/>
                <w:szCs w:val="20"/>
                <w:lang w:val="en-US" w:eastAsia="es-ES"/>
              </w:rPr>
            </w:pPr>
            <w:r w:rsidRPr="006010D0">
              <w:rPr>
                <w:rFonts w:ascii="Verdana" w:hAnsi="Verdana"/>
                <w:color w:val="000000"/>
                <w:sz w:val="20"/>
                <w:szCs w:val="20"/>
                <w:lang w:val="en-US" w:eastAsia="es-ES"/>
              </w:rPr>
              <w:t>Total</w:t>
            </w:r>
          </w:p>
        </w:tc>
        <w:tc>
          <w:tcPr>
            <w:tcW w:w="0" w:type="auto"/>
            <w:tcBorders>
              <w:top w:val="nil"/>
              <w:left w:val="nil"/>
              <w:bottom w:val="doub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36,4</w:t>
            </w:r>
          </w:p>
        </w:tc>
        <w:tc>
          <w:tcPr>
            <w:tcW w:w="846" w:type="dxa"/>
            <w:tcBorders>
              <w:top w:val="nil"/>
              <w:left w:val="nil"/>
              <w:bottom w:val="doub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31,5</w:t>
            </w:r>
          </w:p>
        </w:tc>
        <w:tc>
          <w:tcPr>
            <w:tcW w:w="872" w:type="dxa"/>
            <w:tcBorders>
              <w:top w:val="nil"/>
              <w:left w:val="nil"/>
              <w:bottom w:val="doub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35,2</w:t>
            </w:r>
          </w:p>
        </w:tc>
        <w:tc>
          <w:tcPr>
            <w:tcW w:w="660" w:type="dxa"/>
            <w:tcBorders>
              <w:top w:val="nil"/>
              <w:left w:val="nil"/>
              <w:bottom w:val="doub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41,7</w:t>
            </w:r>
          </w:p>
        </w:tc>
        <w:tc>
          <w:tcPr>
            <w:tcW w:w="1362" w:type="dxa"/>
            <w:tcBorders>
              <w:top w:val="nil"/>
              <w:left w:val="nil"/>
              <w:bottom w:val="double" w:sz="4" w:space="0" w:color="auto"/>
              <w:right w:val="nil"/>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28,4</w:t>
            </w:r>
          </w:p>
        </w:tc>
        <w:tc>
          <w:tcPr>
            <w:tcW w:w="515" w:type="dxa"/>
            <w:tcBorders>
              <w:top w:val="nil"/>
              <w:left w:val="nil"/>
              <w:bottom w:val="double" w:sz="4" w:space="0" w:color="auto"/>
              <w:right w:val="double" w:sz="4" w:space="0" w:color="auto"/>
            </w:tcBorders>
            <w:noWrap/>
            <w:vAlign w:val="bottom"/>
          </w:tcPr>
          <w:p w:rsidR="006010D0" w:rsidRPr="006010D0" w:rsidRDefault="006010D0" w:rsidP="006010D0">
            <w:pPr>
              <w:keepNext/>
              <w:keepLines/>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26,8</w:t>
            </w:r>
          </w:p>
        </w:tc>
      </w:tr>
    </w:tbl>
    <w:p w:rsidR="006010D0" w:rsidRPr="006010D0" w:rsidRDefault="006010D0" w:rsidP="006010D0">
      <w:pPr>
        <w:keepNext/>
        <w:keepLines/>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rPr>
      </w:pPr>
      <w:r w:rsidRPr="006010D0">
        <w:rPr>
          <w:rFonts w:ascii="Verdana" w:hAnsi="Verdana"/>
        </w:rPr>
        <w:t xml:space="preserve">La antigüedad del trabajador en la empresa sí que parece influir positivamente en la valoración que se realiza de la representación sindical </w:t>
      </w:r>
      <w:r w:rsidRPr="006010D0">
        <w:rPr>
          <w:rFonts w:ascii="Verdana" w:hAnsi="Verdana"/>
        </w:rPr>
        <w:lastRenderedPageBreak/>
        <w:t>(tabla 3.17). De manera que la mayor antigüedad en la empresa está asociada a una visión más positiva de la labor realizada por los representantes sindicales. Sin embargo, cuando comparamos los datos de 2007 con los de 2010 observamos que las diferencias entre grupos de trabajadores por antigüedad en la empresa disminuyen.</w:t>
      </w:r>
    </w:p>
    <w:p w:rsidR="006010D0" w:rsidRPr="006010D0" w:rsidRDefault="006010D0" w:rsidP="006010D0">
      <w:pPr>
        <w:spacing w:line="240" w:lineRule="auto"/>
        <w:jc w:val="center"/>
        <w:rPr>
          <w:rFonts w:ascii="Verdana" w:hAnsi="Verdana"/>
        </w:rPr>
      </w:pPr>
      <w:r w:rsidRPr="006010D0">
        <w:rPr>
          <w:rFonts w:ascii="Verdana" w:hAnsi="Verdana"/>
        </w:rPr>
        <w:t>Tabla 3.17. Distribución de los trabajadores según valoración de la representación sindical y antigüedad en la empresa (en %)</w:t>
      </w:r>
    </w:p>
    <w:tbl>
      <w:tblPr>
        <w:tblW w:w="7342" w:type="dxa"/>
        <w:jc w:val="center"/>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
      <w:tblGrid>
        <w:gridCol w:w="1701"/>
        <w:gridCol w:w="907"/>
        <w:gridCol w:w="874"/>
        <w:gridCol w:w="1134"/>
        <w:gridCol w:w="851"/>
        <w:gridCol w:w="1276"/>
        <w:gridCol w:w="725"/>
      </w:tblGrid>
      <w:tr w:rsidR="006010D0" w:rsidRPr="006010D0" w:rsidTr="00111BCB">
        <w:trPr>
          <w:trHeight w:val="300"/>
          <w:jc w:val="center"/>
        </w:trPr>
        <w:tc>
          <w:tcPr>
            <w:tcW w:w="1701" w:type="dxa"/>
            <w:tcBorders>
              <w:top w:val="double" w:sz="4" w:space="0" w:color="auto"/>
              <w:left w:val="double" w:sz="4" w:space="0" w:color="auto"/>
              <w:bottom w:val="nil"/>
              <w:right w:val="nil"/>
            </w:tcBorders>
            <w:noWrap/>
          </w:tcPr>
          <w:p w:rsidR="006010D0" w:rsidRPr="006010D0" w:rsidRDefault="006010D0" w:rsidP="006010D0">
            <w:pPr>
              <w:spacing w:line="240" w:lineRule="auto"/>
              <w:jc w:val="both"/>
              <w:rPr>
                <w:rFonts w:ascii="Verdana" w:hAnsi="Verdana"/>
                <w:color w:val="000000"/>
                <w:sz w:val="20"/>
                <w:szCs w:val="20"/>
                <w:lang w:eastAsia="es-ES"/>
              </w:rPr>
            </w:pPr>
          </w:p>
        </w:tc>
        <w:tc>
          <w:tcPr>
            <w:tcW w:w="1781" w:type="dxa"/>
            <w:gridSpan w:val="2"/>
            <w:tcBorders>
              <w:top w:val="double" w:sz="4" w:space="0" w:color="auto"/>
              <w:left w:val="nil"/>
              <w:bottom w:val="nil"/>
              <w:right w:val="nil"/>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Poco</w:t>
            </w:r>
            <w:proofErr w:type="spellEnd"/>
            <w:r w:rsidRPr="006010D0">
              <w:rPr>
                <w:rFonts w:ascii="Verdana" w:hAnsi="Verdana"/>
                <w:b/>
                <w:color w:val="000000"/>
                <w:sz w:val="20"/>
                <w:szCs w:val="20"/>
                <w:lang w:val="en-US" w:eastAsia="es-ES"/>
              </w:rPr>
              <w:t xml:space="preserve"> o nada </w:t>
            </w:r>
            <w:proofErr w:type="spellStart"/>
            <w:r w:rsidRPr="006010D0">
              <w:rPr>
                <w:rFonts w:ascii="Verdana" w:hAnsi="Verdana"/>
                <w:b/>
                <w:color w:val="000000"/>
                <w:sz w:val="20"/>
                <w:szCs w:val="20"/>
                <w:lang w:val="en-US" w:eastAsia="es-ES"/>
              </w:rPr>
              <w:t>satisfecho</w:t>
            </w:r>
            <w:proofErr w:type="spellEnd"/>
          </w:p>
        </w:tc>
        <w:tc>
          <w:tcPr>
            <w:tcW w:w="1985" w:type="dxa"/>
            <w:gridSpan w:val="2"/>
            <w:tcBorders>
              <w:top w:val="double" w:sz="4" w:space="0" w:color="auto"/>
              <w:left w:val="nil"/>
              <w:bottom w:val="nil"/>
              <w:right w:val="nil"/>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Satisfecho</w:t>
            </w:r>
            <w:proofErr w:type="spellEnd"/>
          </w:p>
        </w:tc>
        <w:tc>
          <w:tcPr>
            <w:tcW w:w="1875" w:type="dxa"/>
            <w:gridSpan w:val="2"/>
            <w:tcBorders>
              <w:top w:val="double" w:sz="4" w:space="0" w:color="auto"/>
              <w:left w:val="nil"/>
              <w:bottom w:val="nil"/>
              <w:right w:val="double" w:sz="4" w:space="0" w:color="auto"/>
            </w:tcBorders>
            <w:noWrap/>
            <w:vAlign w:val="bottom"/>
          </w:tcPr>
          <w:p w:rsidR="006010D0" w:rsidRPr="006010D0" w:rsidRDefault="006010D0" w:rsidP="006010D0">
            <w:pPr>
              <w:spacing w:line="240" w:lineRule="auto"/>
              <w:jc w:val="center"/>
              <w:rPr>
                <w:rFonts w:ascii="Verdana" w:hAnsi="Verdana"/>
                <w:b/>
                <w:color w:val="000000"/>
                <w:sz w:val="20"/>
                <w:szCs w:val="20"/>
                <w:lang w:val="en-US" w:eastAsia="es-ES"/>
              </w:rPr>
            </w:pPr>
            <w:proofErr w:type="spellStart"/>
            <w:r w:rsidRPr="006010D0">
              <w:rPr>
                <w:rFonts w:ascii="Verdana" w:hAnsi="Verdana"/>
                <w:b/>
                <w:color w:val="000000"/>
                <w:sz w:val="20"/>
                <w:szCs w:val="20"/>
                <w:lang w:val="en-US" w:eastAsia="es-ES"/>
              </w:rPr>
              <w:t>Bastante</w:t>
            </w:r>
            <w:proofErr w:type="spellEnd"/>
            <w:r w:rsidRPr="006010D0">
              <w:rPr>
                <w:rFonts w:ascii="Verdana" w:hAnsi="Verdana"/>
                <w:b/>
                <w:color w:val="000000"/>
                <w:sz w:val="20"/>
                <w:szCs w:val="20"/>
                <w:lang w:val="en-US" w:eastAsia="es-ES"/>
              </w:rPr>
              <w:t xml:space="preserve"> y </w:t>
            </w:r>
            <w:proofErr w:type="spellStart"/>
            <w:r w:rsidRPr="006010D0">
              <w:rPr>
                <w:rFonts w:ascii="Verdana" w:hAnsi="Verdana"/>
                <w:b/>
                <w:color w:val="000000"/>
                <w:sz w:val="20"/>
                <w:szCs w:val="20"/>
                <w:lang w:val="en-US" w:eastAsia="es-ES"/>
              </w:rPr>
              <w:t>muy</w:t>
            </w:r>
            <w:proofErr w:type="spellEnd"/>
            <w:r w:rsidRPr="006010D0">
              <w:rPr>
                <w:rFonts w:ascii="Verdana" w:hAnsi="Verdana"/>
                <w:b/>
                <w:color w:val="000000"/>
                <w:sz w:val="20"/>
                <w:szCs w:val="20"/>
                <w:lang w:val="en-US" w:eastAsia="es-ES"/>
              </w:rPr>
              <w:t xml:space="preserve"> </w:t>
            </w:r>
            <w:proofErr w:type="spellStart"/>
            <w:r w:rsidRPr="006010D0">
              <w:rPr>
                <w:rFonts w:ascii="Verdana" w:hAnsi="Verdana"/>
                <w:b/>
                <w:color w:val="000000"/>
                <w:sz w:val="20"/>
                <w:szCs w:val="20"/>
                <w:lang w:val="en-US" w:eastAsia="es-ES"/>
              </w:rPr>
              <w:t>satisfecho</w:t>
            </w:r>
            <w:proofErr w:type="spellEnd"/>
          </w:p>
        </w:tc>
      </w:tr>
      <w:tr w:rsidR="006010D0" w:rsidRPr="006010D0" w:rsidTr="00111BCB">
        <w:trPr>
          <w:trHeight w:val="300"/>
          <w:jc w:val="center"/>
        </w:trPr>
        <w:tc>
          <w:tcPr>
            <w:tcW w:w="1701" w:type="dxa"/>
            <w:tcBorders>
              <w:top w:val="nil"/>
              <w:left w:val="double" w:sz="4" w:space="0" w:color="auto"/>
              <w:bottom w:val="nil"/>
              <w:right w:val="nil"/>
            </w:tcBorders>
            <w:noWrap/>
          </w:tcPr>
          <w:p w:rsidR="006010D0" w:rsidRPr="006010D0" w:rsidRDefault="006010D0" w:rsidP="006010D0">
            <w:pPr>
              <w:spacing w:line="240" w:lineRule="auto"/>
              <w:jc w:val="both"/>
              <w:rPr>
                <w:rFonts w:ascii="Verdana" w:hAnsi="Verdana"/>
                <w:color w:val="000000"/>
                <w:sz w:val="20"/>
                <w:szCs w:val="20"/>
                <w:lang w:val="en-US" w:eastAsia="es-ES"/>
              </w:rPr>
            </w:pPr>
          </w:p>
        </w:tc>
        <w:tc>
          <w:tcPr>
            <w:tcW w:w="907"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2007</w:t>
            </w:r>
          </w:p>
        </w:tc>
        <w:tc>
          <w:tcPr>
            <w:tcW w:w="874"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2010</w:t>
            </w:r>
          </w:p>
        </w:tc>
        <w:tc>
          <w:tcPr>
            <w:tcW w:w="1134"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2007</w:t>
            </w:r>
          </w:p>
        </w:tc>
        <w:tc>
          <w:tcPr>
            <w:tcW w:w="851"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2010</w:t>
            </w:r>
          </w:p>
        </w:tc>
        <w:tc>
          <w:tcPr>
            <w:tcW w:w="1276"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2007</w:t>
            </w:r>
          </w:p>
        </w:tc>
        <w:tc>
          <w:tcPr>
            <w:tcW w:w="599" w:type="dxa"/>
            <w:tcBorders>
              <w:top w:val="nil"/>
              <w:left w:val="nil"/>
              <w:bottom w:val="nil"/>
              <w:right w:val="double" w:sz="4" w:space="0" w:color="auto"/>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2010</w:t>
            </w:r>
          </w:p>
        </w:tc>
      </w:tr>
      <w:tr w:rsidR="006010D0" w:rsidRPr="006010D0" w:rsidTr="00111BCB">
        <w:trPr>
          <w:trHeight w:val="300"/>
          <w:jc w:val="center"/>
        </w:trPr>
        <w:tc>
          <w:tcPr>
            <w:tcW w:w="1701" w:type="dxa"/>
            <w:tcBorders>
              <w:top w:val="nil"/>
              <w:left w:val="double" w:sz="4" w:space="0" w:color="auto"/>
              <w:bottom w:val="nil"/>
              <w:right w:val="nil"/>
            </w:tcBorders>
            <w:noWrap/>
          </w:tcPr>
          <w:p w:rsidR="006010D0" w:rsidRPr="006010D0" w:rsidRDefault="006010D0" w:rsidP="006010D0">
            <w:pPr>
              <w:spacing w:line="240" w:lineRule="auto"/>
              <w:jc w:val="both"/>
              <w:rPr>
                <w:rFonts w:ascii="Verdana" w:hAnsi="Verdana"/>
                <w:color w:val="000000"/>
                <w:sz w:val="20"/>
                <w:szCs w:val="20"/>
                <w:lang w:val="en-US" w:eastAsia="es-ES"/>
              </w:rPr>
            </w:pPr>
            <w:r w:rsidRPr="006010D0">
              <w:rPr>
                <w:rFonts w:ascii="Verdana" w:hAnsi="Verdana"/>
                <w:color w:val="000000"/>
                <w:sz w:val="20"/>
                <w:szCs w:val="20"/>
                <w:lang w:val="en-US" w:eastAsia="es-ES"/>
              </w:rPr>
              <w:t xml:space="preserve">0-3 </w:t>
            </w:r>
            <w:proofErr w:type="spellStart"/>
            <w:r w:rsidRPr="006010D0">
              <w:rPr>
                <w:rFonts w:ascii="Verdana" w:hAnsi="Verdana"/>
                <w:color w:val="000000"/>
                <w:sz w:val="20"/>
                <w:szCs w:val="20"/>
                <w:lang w:val="en-US" w:eastAsia="es-ES"/>
              </w:rPr>
              <w:t>años</w:t>
            </w:r>
            <w:proofErr w:type="spellEnd"/>
          </w:p>
        </w:tc>
        <w:tc>
          <w:tcPr>
            <w:tcW w:w="907"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43,7</w:t>
            </w:r>
          </w:p>
        </w:tc>
        <w:tc>
          <w:tcPr>
            <w:tcW w:w="874"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33,8</w:t>
            </w:r>
          </w:p>
        </w:tc>
        <w:tc>
          <w:tcPr>
            <w:tcW w:w="1134"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31,5</w:t>
            </w:r>
          </w:p>
        </w:tc>
        <w:tc>
          <w:tcPr>
            <w:tcW w:w="851"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41,3</w:t>
            </w:r>
          </w:p>
        </w:tc>
        <w:tc>
          <w:tcPr>
            <w:tcW w:w="1276"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24,8</w:t>
            </w:r>
          </w:p>
        </w:tc>
        <w:tc>
          <w:tcPr>
            <w:tcW w:w="599" w:type="dxa"/>
            <w:tcBorders>
              <w:top w:val="nil"/>
              <w:left w:val="nil"/>
              <w:bottom w:val="nil"/>
              <w:right w:val="double" w:sz="4" w:space="0" w:color="auto"/>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24,9</w:t>
            </w:r>
          </w:p>
        </w:tc>
      </w:tr>
      <w:tr w:rsidR="006010D0" w:rsidRPr="006010D0" w:rsidTr="00111BCB">
        <w:trPr>
          <w:trHeight w:val="300"/>
          <w:jc w:val="center"/>
        </w:trPr>
        <w:tc>
          <w:tcPr>
            <w:tcW w:w="1701" w:type="dxa"/>
            <w:tcBorders>
              <w:top w:val="nil"/>
              <w:left w:val="double" w:sz="4" w:space="0" w:color="auto"/>
              <w:bottom w:val="nil"/>
              <w:right w:val="nil"/>
            </w:tcBorders>
            <w:noWrap/>
          </w:tcPr>
          <w:p w:rsidR="006010D0" w:rsidRPr="006010D0" w:rsidRDefault="006010D0" w:rsidP="006010D0">
            <w:pPr>
              <w:spacing w:line="240" w:lineRule="auto"/>
              <w:jc w:val="both"/>
              <w:rPr>
                <w:rFonts w:ascii="Verdana" w:hAnsi="Verdana"/>
                <w:color w:val="000000"/>
                <w:sz w:val="20"/>
                <w:szCs w:val="20"/>
                <w:lang w:val="en-US" w:eastAsia="es-ES"/>
              </w:rPr>
            </w:pPr>
            <w:r w:rsidRPr="006010D0">
              <w:rPr>
                <w:rFonts w:ascii="Verdana" w:hAnsi="Verdana"/>
                <w:color w:val="000000"/>
                <w:sz w:val="20"/>
                <w:szCs w:val="20"/>
                <w:lang w:val="en-US" w:eastAsia="es-ES"/>
              </w:rPr>
              <w:t xml:space="preserve">3-10 </w:t>
            </w:r>
            <w:proofErr w:type="spellStart"/>
            <w:r w:rsidRPr="006010D0">
              <w:rPr>
                <w:rFonts w:ascii="Verdana" w:hAnsi="Verdana"/>
                <w:color w:val="000000"/>
                <w:sz w:val="20"/>
                <w:szCs w:val="20"/>
                <w:lang w:val="en-US" w:eastAsia="es-ES"/>
              </w:rPr>
              <w:t>años</w:t>
            </w:r>
            <w:proofErr w:type="spellEnd"/>
          </w:p>
        </w:tc>
        <w:tc>
          <w:tcPr>
            <w:tcW w:w="907"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41,8</w:t>
            </w:r>
          </w:p>
        </w:tc>
        <w:tc>
          <w:tcPr>
            <w:tcW w:w="874"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34,2</w:t>
            </w:r>
          </w:p>
        </w:tc>
        <w:tc>
          <w:tcPr>
            <w:tcW w:w="1134"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32,9</w:t>
            </w:r>
          </w:p>
        </w:tc>
        <w:tc>
          <w:tcPr>
            <w:tcW w:w="851"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39,4</w:t>
            </w:r>
          </w:p>
        </w:tc>
        <w:tc>
          <w:tcPr>
            <w:tcW w:w="1276"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25,3</w:t>
            </w:r>
          </w:p>
        </w:tc>
        <w:tc>
          <w:tcPr>
            <w:tcW w:w="599" w:type="dxa"/>
            <w:tcBorders>
              <w:top w:val="nil"/>
              <w:left w:val="nil"/>
              <w:bottom w:val="nil"/>
              <w:right w:val="double" w:sz="4" w:space="0" w:color="auto"/>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26,4</w:t>
            </w:r>
          </w:p>
        </w:tc>
      </w:tr>
      <w:tr w:rsidR="006010D0" w:rsidRPr="006010D0" w:rsidTr="00111BCB">
        <w:trPr>
          <w:trHeight w:val="300"/>
          <w:jc w:val="center"/>
        </w:trPr>
        <w:tc>
          <w:tcPr>
            <w:tcW w:w="1701" w:type="dxa"/>
            <w:tcBorders>
              <w:top w:val="nil"/>
              <w:left w:val="double" w:sz="4" w:space="0" w:color="auto"/>
              <w:bottom w:val="nil"/>
              <w:right w:val="nil"/>
            </w:tcBorders>
            <w:noWrap/>
          </w:tcPr>
          <w:p w:rsidR="006010D0" w:rsidRPr="006010D0" w:rsidRDefault="006010D0" w:rsidP="006010D0">
            <w:pPr>
              <w:spacing w:line="240" w:lineRule="auto"/>
              <w:jc w:val="both"/>
              <w:rPr>
                <w:rFonts w:ascii="Verdana" w:hAnsi="Verdana"/>
                <w:color w:val="000000"/>
                <w:sz w:val="20"/>
                <w:szCs w:val="20"/>
                <w:lang w:val="en-US" w:eastAsia="es-ES"/>
              </w:rPr>
            </w:pPr>
            <w:proofErr w:type="spellStart"/>
            <w:r w:rsidRPr="006010D0">
              <w:rPr>
                <w:rFonts w:ascii="Verdana" w:hAnsi="Verdana"/>
                <w:color w:val="000000"/>
                <w:sz w:val="20"/>
                <w:szCs w:val="20"/>
                <w:lang w:val="en-US" w:eastAsia="es-ES"/>
              </w:rPr>
              <w:t>Más</w:t>
            </w:r>
            <w:proofErr w:type="spellEnd"/>
            <w:r w:rsidRPr="006010D0">
              <w:rPr>
                <w:rFonts w:ascii="Verdana" w:hAnsi="Verdana"/>
                <w:color w:val="000000"/>
                <w:sz w:val="20"/>
                <w:szCs w:val="20"/>
                <w:lang w:val="en-US" w:eastAsia="es-ES"/>
              </w:rPr>
              <w:t xml:space="preserve"> de 10 </w:t>
            </w:r>
            <w:proofErr w:type="spellStart"/>
            <w:r w:rsidRPr="006010D0">
              <w:rPr>
                <w:rFonts w:ascii="Verdana" w:hAnsi="Verdana"/>
                <w:color w:val="000000"/>
                <w:sz w:val="20"/>
                <w:szCs w:val="20"/>
                <w:lang w:val="en-US" w:eastAsia="es-ES"/>
              </w:rPr>
              <w:t>años</w:t>
            </w:r>
            <w:proofErr w:type="spellEnd"/>
          </w:p>
        </w:tc>
        <w:tc>
          <w:tcPr>
            <w:tcW w:w="907"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30,0</w:t>
            </w:r>
          </w:p>
        </w:tc>
        <w:tc>
          <w:tcPr>
            <w:tcW w:w="874" w:type="dxa"/>
            <w:tcBorders>
              <w:top w:val="nil"/>
              <w:left w:val="nil"/>
              <w:bottom w:val="nil"/>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28,3</w:t>
            </w:r>
          </w:p>
        </w:tc>
        <w:tc>
          <w:tcPr>
            <w:tcW w:w="1134" w:type="dxa"/>
            <w:tcBorders>
              <w:top w:val="nil"/>
              <w:left w:val="nil"/>
              <w:bottom w:val="nil"/>
              <w:right w:val="nil"/>
            </w:tcBorders>
            <w:noWrap/>
          </w:tcPr>
          <w:p w:rsidR="006010D0" w:rsidRPr="006010D0" w:rsidRDefault="006010D0" w:rsidP="006010D0">
            <w:pPr>
              <w:spacing w:line="240" w:lineRule="auto"/>
              <w:jc w:val="center"/>
              <w:rPr>
                <w:rFonts w:ascii="Verdana" w:hAnsi="Verdana"/>
                <w:b/>
                <w:bCs/>
                <w:color w:val="000000"/>
                <w:sz w:val="20"/>
                <w:szCs w:val="20"/>
                <w:lang w:val="en-US" w:eastAsia="es-ES"/>
              </w:rPr>
            </w:pPr>
            <w:r w:rsidRPr="006010D0">
              <w:rPr>
                <w:rFonts w:ascii="Verdana" w:hAnsi="Verdana"/>
                <w:color w:val="000000"/>
                <w:sz w:val="20"/>
                <w:szCs w:val="20"/>
                <w:lang w:val="en-US" w:eastAsia="es-ES"/>
              </w:rPr>
              <w:t>38,0</w:t>
            </w:r>
          </w:p>
        </w:tc>
        <w:tc>
          <w:tcPr>
            <w:tcW w:w="851" w:type="dxa"/>
            <w:tcBorders>
              <w:top w:val="nil"/>
              <w:left w:val="nil"/>
              <w:bottom w:val="nil"/>
              <w:right w:val="nil"/>
            </w:tcBorders>
            <w:noWrap/>
          </w:tcPr>
          <w:p w:rsidR="006010D0" w:rsidRPr="006010D0" w:rsidRDefault="006010D0" w:rsidP="006010D0">
            <w:pPr>
              <w:spacing w:line="240" w:lineRule="auto"/>
              <w:jc w:val="center"/>
              <w:rPr>
                <w:rFonts w:ascii="Verdana" w:hAnsi="Verdana"/>
                <w:b/>
                <w:bCs/>
                <w:color w:val="000000"/>
                <w:sz w:val="20"/>
                <w:szCs w:val="20"/>
                <w:lang w:val="en-US" w:eastAsia="es-ES"/>
              </w:rPr>
            </w:pPr>
            <w:r w:rsidRPr="006010D0">
              <w:rPr>
                <w:rFonts w:ascii="Verdana" w:hAnsi="Verdana"/>
                <w:color w:val="000000"/>
                <w:sz w:val="20"/>
                <w:szCs w:val="20"/>
                <w:lang w:val="en-US" w:eastAsia="es-ES"/>
              </w:rPr>
              <w:t>43,6</w:t>
            </w:r>
          </w:p>
        </w:tc>
        <w:tc>
          <w:tcPr>
            <w:tcW w:w="1276" w:type="dxa"/>
            <w:tcBorders>
              <w:top w:val="nil"/>
              <w:left w:val="nil"/>
              <w:bottom w:val="nil"/>
              <w:right w:val="nil"/>
            </w:tcBorders>
            <w:noWrap/>
          </w:tcPr>
          <w:p w:rsidR="006010D0" w:rsidRPr="006010D0" w:rsidRDefault="006010D0" w:rsidP="006010D0">
            <w:pPr>
              <w:spacing w:line="240" w:lineRule="auto"/>
              <w:jc w:val="center"/>
              <w:rPr>
                <w:rFonts w:ascii="Verdana" w:hAnsi="Verdana"/>
                <w:b/>
                <w:bCs/>
                <w:color w:val="000000"/>
                <w:sz w:val="20"/>
                <w:szCs w:val="20"/>
                <w:lang w:val="en-US" w:eastAsia="es-ES"/>
              </w:rPr>
            </w:pPr>
            <w:r w:rsidRPr="006010D0">
              <w:rPr>
                <w:rFonts w:ascii="Verdana" w:hAnsi="Verdana"/>
                <w:color w:val="000000"/>
                <w:sz w:val="20"/>
                <w:szCs w:val="20"/>
                <w:lang w:val="en-US" w:eastAsia="es-ES"/>
              </w:rPr>
              <w:t>32,0</w:t>
            </w:r>
          </w:p>
        </w:tc>
        <w:tc>
          <w:tcPr>
            <w:tcW w:w="599" w:type="dxa"/>
            <w:tcBorders>
              <w:top w:val="nil"/>
              <w:left w:val="nil"/>
              <w:bottom w:val="nil"/>
              <w:right w:val="double" w:sz="4" w:space="0" w:color="auto"/>
            </w:tcBorders>
            <w:noWrap/>
          </w:tcPr>
          <w:p w:rsidR="006010D0" w:rsidRPr="006010D0" w:rsidRDefault="006010D0" w:rsidP="006010D0">
            <w:pPr>
              <w:spacing w:line="240" w:lineRule="auto"/>
              <w:jc w:val="center"/>
              <w:rPr>
                <w:rFonts w:ascii="Verdana" w:hAnsi="Verdana"/>
                <w:b/>
                <w:bCs/>
                <w:color w:val="000000"/>
                <w:sz w:val="20"/>
                <w:szCs w:val="20"/>
                <w:lang w:val="en-US" w:eastAsia="es-ES"/>
              </w:rPr>
            </w:pPr>
            <w:r w:rsidRPr="006010D0">
              <w:rPr>
                <w:rFonts w:ascii="Verdana" w:hAnsi="Verdana"/>
                <w:color w:val="000000"/>
                <w:sz w:val="20"/>
                <w:szCs w:val="20"/>
                <w:lang w:val="en-US" w:eastAsia="es-ES"/>
              </w:rPr>
              <w:t>28,1</w:t>
            </w:r>
          </w:p>
        </w:tc>
      </w:tr>
      <w:tr w:rsidR="006010D0" w:rsidRPr="006010D0" w:rsidTr="00111BCB">
        <w:trPr>
          <w:trHeight w:val="300"/>
          <w:jc w:val="center"/>
        </w:trPr>
        <w:tc>
          <w:tcPr>
            <w:tcW w:w="1701" w:type="dxa"/>
            <w:tcBorders>
              <w:top w:val="nil"/>
              <w:left w:val="double" w:sz="4" w:space="0" w:color="auto"/>
              <w:bottom w:val="double" w:sz="4" w:space="0" w:color="auto"/>
              <w:right w:val="nil"/>
            </w:tcBorders>
            <w:noWrap/>
          </w:tcPr>
          <w:p w:rsidR="006010D0" w:rsidRPr="006010D0" w:rsidRDefault="006010D0" w:rsidP="006010D0">
            <w:pPr>
              <w:spacing w:line="240" w:lineRule="auto"/>
              <w:jc w:val="both"/>
              <w:rPr>
                <w:rFonts w:ascii="Verdana" w:hAnsi="Verdana"/>
                <w:color w:val="000000"/>
                <w:sz w:val="20"/>
                <w:szCs w:val="20"/>
                <w:lang w:val="en-US" w:eastAsia="es-ES"/>
              </w:rPr>
            </w:pPr>
            <w:r w:rsidRPr="006010D0">
              <w:rPr>
                <w:rFonts w:ascii="Verdana" w:hAnsi="Verdana"/>
                <w:color w:val="000000"/>
                <w:sz w:val="20"/>
                <w:szCs w:val="20"/>
                <w:lang w:val="en-US" w:eastAsia="es-ES"/>
              </w:rPr>
              <w:t>Total</w:t>
            </w:r>
          </w:p>
        </w:tc>
        <w:tc>
          <w:tcPr>
            <w:tcW w:w="907" w:type="dxa"/>
            <w:tcBorders>
              <w:top w:val="nil"/>
              <w:left w:val="nil"/>
              <w:bottom w:val="double" w:sz="4" w:space="0" w:color="auto"/>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36,5</w:t>
            </w:r>
          </w:p>
        </w:tc>
        <w:tc>
          <w:tcPr>
            <w:tcW w:w="874" w:type="dxa"/>
            <w:tcBorders>
              <w:top w:val="nil"/>
              <w:left w:val="nil"/>
              <w:bottom w:val="double" w:sz="4" w:space="0" w:color="auto"/>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31,5</w:t>
            </w:r>
          </w:p>
        </w:tc>
        <w:tc>
          <w:tcPr>
            <w:tcW w:w="1134" w:type="dxa"/>
            <w:tcBorders>
              <w:top w:val="nil"/>
              <w:left w:val="nil"/>
              <w:bottom w:val="double" w:sz="4" w:space="0" w:color="auto"/>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35,1</w:t>
            </w:r>
          </w:p>
        </w:tc>
        <w:tc>
          <w:tcPr>
            <w:tcW w:w="851" w:type="dxa"/>
            <w:tcBorders>
              <w:top w:val="nil"/>
              <w:left w:val="nil"/>
              <w:bottom w:val="double" w:sz="4" w:space="0" w:color="auto"/>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41,7</w:t>
            </w:r>
          </w:p>
        </w:tc>
        <w:tc>
          <w:tcPr>
            <w:tcW w:w="1276" w:type="dxa"/>
            <w:tcBorders>
              <w:top w:val="nil"/>
              <w:left w:val="nil"/>
              <w:bottom w:val="double" w:sz="4" w:space="0" w:color="auto"/>
              <w:right w:val="nil"/>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28,4</w:t>
            </w:r>
          </w:p>
        </w:tc>
        <w:tc>
          <w:tcPr>
            <w:tcW w:w="599" w:type="dxa"/>
            <w:tcBorders>
              <w:top w:val="nil"/>
              <w:left w:val="nil"/>
              <w:bottom w:val="double" w:sz="4" w:space="0" w:color="auto"/>
              <w:right w:val="double" w:sz="4" w:space="0" w:color="auto"/>
            </w:tcBorders>
            <w:noWrap/>
          </w:tcPr>
          <w:p w:rsidR="006010D0" w:rsidRPr="006010D0" w:rsidRDefault="006010D0" w:rsidP="006010D0">
            <w:pPr>
              <w:spacing w:line="240" w:lineRule="auto"/>
              <w:jc w:val="center"/>
              <w:rPr>
                <w:rFonts w:ascii="Verdana" w:hAnsi="Verdana"/>
                <w:color w:val="000000"/>
                <w:sz w:val="20"/>
                <w:szCs w:val="20"/>
                <w:lang w:val="en-US" w:eastAsia="es-ES"/>
              </w:rPr>
            </w:pPr>
            <w:r w:rsidRPr="006010D0">
              <w:rPr>
                <w:rFonts w:ascii="Verdana" w:hAnsi="Verdana"/>
                <w:color w:val="000000"/>
                <w:sz w:val="20"/>
                <w:szCs w:val="20"/>
                <w:lang w:val="en-US" w:eastAsia="es-ES"/>
              </w:rPr>
              <w:t>26,8</w:t>
            </w:r>
          </w:p>
        </w:tc>
      </w:tr>
    </w:tbl>
    <w:p w:rsidR="006010D0" w:rsidRPr="006010D0" w:rsidRDefault="006010D0" w:rsidP="006010D0">
      <w:pPr>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rPr>
      </w:pPr>
      <w:r w:rsidRPr="006010D0">
        <w:rPr>
          <w:rFonts w:ascii="Verdana" w:hAnsi="Verdana"/>
        </w:rPr>
        <w:t>El tipo de contrato también parece influir en la valoración de los asalariados sobre la representación sindical. Los resultados del análisis de la ECVT muestran como en general los trabajadores con contrato temporal se manifiestan más insatisfechos con la labor y los resultados obtenidos por sus representantes. Esta situación es evidente para el año 2007 tal y como puede apreciarse en el gráfico 3.5. Sin embargo, la crisis económica y su impacto asimétrico entre empleados con contrato indefinido y temporal conllevan la casi total eliminación de estas diferencias en 2010.</w:t>
      </w:r>
    </w:p>
    <w:p w:rsidR="006010D0" w:rsidRPr="006010D0" w:rsidRDefault="006010D0" w:rsidP="006010D0">
      <w:pPr>
        <w:keepNext/>
        <w:keepLines/>
        <w:spacing w:line="240" w:lineRule="auto"/>
        <w:jc w:val="center"/>
        <w:rPr>
          <w:rFonts w:ascii="Verdana" w:hAnsi="Verdana"/>
        </w:rPr>
      </w:pPr>
      <w:r w:rsidRPr="006010D0">
        <w:rPr>
          <w:rFonts w:ascii="Verdana" w:hAnsi="Verdana"/>
        </w:rPr>
        <w:t>Gráfico 3.5. Distribución de los trabajadores según valoración de la representación sindical y tipo de contrato (en %)</w:t>
      </w:r>
    </w:p>
    <w:p w:rsidR="006010D0" w:rsidRPr="006010D0" w:rsidRDefault="006010D0" w:rsidP="006010D0">
      <w:pPr>
        <w:keepNext/>
        <w:keepLines/>
        <w:spacing w:line="240" w:lineRule="auto"/>
        <w:jc w:val="center"/>
        <w:rPr>
          <w:rFonts w:ascii="Verdana" w:hAnsi="Verdana"/>
          <w:sz w:val="24"/>
          <w:szCs w:val="24"/>
        </w:rPr>
      </w:pPr>
      <w:r w:rsidRPr="006010D0">
        <w:rPr>
          <w:rFonts w:ascii="Verdana" w:hAnsi="Verdana"/>
          <w:noProof/>
          <w:sz w:val="24"/>
          <w:szCs w:val="24"/>
          <w:lang w:eastAsia="es-ES"/>
        </w:rPr>
        <w:drawing>
          <wp:inline distT="0" distB="0" distL="0" distR="0" wp14:anchorId="277C2517" wp14:editId="60A7AECE">
            <wp:extent cx="3684270" cy="2145030"/>
            <wp:effectExtent l="19050" t="0" r="0" b="0"/>
            <wp:docPr id="11" name="Gràf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àfic 1"/>
                    <pic:cNvPicPr>
                      <a:picLocks noChangeArrowheads="1"/>
                    </pic:cNvPicPr>
                  </pic:nvPicPr>
                  <pic:blipFill>
                    <a:blip r:embed="rId16" cstate="print"/>
                    <a:srcRect/>
                    <a:stretch>
                      <a:fillRect/>
                    </a:stretch>
                  </pic:blipFill>
                  <pic:spPr bwMode="auto">
                    <a:xfrm>
                      <a:off x="0" y="0"/>
                      <a:ext cx="3684270" cy="2145030"/>
                    </a:xfrm>
                    <a:prstGeom prst="rect">
                      <a:avLst/>
                    </a:prstGeom>
                    <a:noFill/>
                    <a:ln w="9525">
                      <a:noFill/>
                      <a:miter lim="800000"/>
                      <a:headEnd/>
                      <a:tailEnd/>
                    </a:ln>
                  </pic:spPr>
                </pic:pic>
              </a:graphicData>
            </a:graphic>
          </wp:inline>
        </w:drawing>
      </w:r>
    </w:p>
    <w:p w:rsidR="006010D0" w:rsidRPr="006010D0" w:rsidRDefault="006010D0" w:rsidP="006010D0">
      <w:pPr>
        <w:keepNext/>
        <w:keepLines/>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r w:rsidRPr="006010D0">
        <w:rPr>
          <w:rFonts w:ascii="Verdana" w:hAnsi="Verdana"/>
        </w:rPr>
        <w:lastRenderedPageBreak/>
        <w:t xml:space="preserve">Si tenemos en cuenta la afiliación del trabajador a un sindicato, obtenemos en línea con lo que podría esperarse, una mayor satisfacción con la representación sindical entre los afiliados (gráfico 3.6). Estas diferencias se han incrementado de forma significativa desde el inicio de la crisis económica. De hecho, en el año </w:t>
      </w:r>
      <w:smartTag w:uri="urn:schemas-microsoft-com:office:smarttags" w:element="metricconverter">
        <w:smartTagPr>
          <w:attr w:name="ProductID" w:val="2010 ha"/>
        </w:smartTagPr>
        <w:r w:rsidRPr="006010D0">
          <w:rPr>
            <w:rFonts w:ascii="Verdana" w:hAnsi="Verdana"/>
          </w:rPr>
          <w:t>2010 ha</w:t>
        </w:r>
      </w:smartTag>
      <w:r w:rsidRPr="006010D0">
        <w:rPr>
          <w:rFonts w:ascii="Verdana" w:hAnsi="Verdana"/>
        </w:rPr>
        <w:t xml:space="preserve"> habido un aumento muy significativo de trabajadores no afiliados que se muestran poco o nada satisfechos con la representación sindical, hecho reflejado asimismo en el descenso de los que se declaran </w:t>
      </w:r>
      <w:proofErr w:type="gramStart"/>
      <w:r w:rsidRPr="006010D0">
        <w:rPr>
          <w:rFonts w:ascii="Verdana" w:hAnsi="Verdana"/>
        </w:rPr>
        <w:t>bastante</w:t>
      </w:r>
      <w:proofErr w:type="gramEnd"/>
      <w:r w:rsidRPr="006010D0">
        <w:rPr>
          <w:rFonts w:ascii="Verdana" w:hAnsi="Verdana"/>
        </w:rPr>
        <w:t xml:space="preserve"> y muy satisfechos.</w:t>
      </w: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center"/>
        <w:rPr>
          <w:rFonts w:ascii="Verdana" w:hAnsi="Verdana"/>
        </w:rPr>
      </w:pPr>
      <w:r w:rsidRPr="006010D0">
        <w:rPr>
          <w:rFonts w:ascii="Verdana" w:hAnsi="Verdana"/>
        </w:rPr>
        <w:t>Gráfico 3.6. Distribución de los trabajadores según valoración de la representación sindical y afiliación al sindicato (en %)</w:t>
      </w:r>
    </w:p>
    <w:p w:rsidR="006010D0" w:rsidRPr="006010D0" w:rsidRDefault="006010D0" w:rsidP="006010D0">
      <w:pPr>
        <w:spacing w:line="240" w:lineRule="auto"/>
        <w:jc w:val="center"/>
        <w:rPr>
          <w:rFonts w:ascii="Verdana" w:hAnsi="Verdana"/>
          <w:sz w:val="24"/>
          <w:szCs w:val="24"/>
        </w:rPr>
      </w:pPr>
      <w:r w:rsidRPr="006010D0">
        <w:rPr>
          <w:rFonts w:ascii="Verdana" w:hAnsi="Verdana"/>
          <w:noProof/>
          <w:sz w:val="24"/>
          <w:szCs w:val="24"/>
          <w:lang w:eastAsia="es-ES"/>
        </w:rPr>
        <w:drawing>
          <wp:inline distT="0" distB="0" distL="0" distR="0" wp14:anchorId="5A536F45" wp14:editId="4DE097B0">
            <wp:extent cx="3684270" cy="2084070"/>
            <wp:effectExtent l="19050" t="0" r="0" b="0"/>
            <wp:docPr id="12"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rrowheads="1"/>
                    </pic:cNvPicPr>
                  </pic:nvPicPr>
                  <pic:blipFill>
                    <a:blip r:embed="rId17" cstate="print"/>
                    <a:srcRect/>
                    <a:stretch>
                      <a:fillRect/>
                    </a:stretch>
                  </pic:blipFill>
                  <pic:spPr bwMode="auto">
                    <a:xfrm>
                      <a:off x="0" y="0"/>
                      <a:ext cx="3684270" cy="2084070"/>
                    </a:xfrm>
                    <a:prstGeom prst="rect">
                      <a:avLst/>
                    </a:prstGeom>
                    <a:noFill/>
                    <a:ln w="9525">
                      <a:noFill/>
                      <a:miter lim="800000"/>
                      <a:headEnd/>
                      <a:tailEnd/>
                    </a:ln>
                  </pic:spPr>
                </pic:pic>
              </a:graphicData>
            </a:graphic>
          </wp:inline>
        </w:drawing>
      </w:r>
    </w:p>
    <w:p w:rsidR="006010D0" w:rsidRPr="006010D0" w:rsidRDefault="006010D0" w:rsidP="006010D0">
      <w:pPr>
        <w:keepNext/>
        <w:keepLines/>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rPr>
      </w:pPr>
    </w:p>
    <w:p w:rsidR="006010D0" w:rsidRPr="006010D0" w:rsidRDefault="006010D0" w:rsidP="006010D0">
      <w:pPr>
        <w:spacing w:line="240" w:lineRule="auto"/>
        <w:jc w:val="both"/>
        <w:rPr>
          <w:rFonts w:ascii="Verdana" w:hAnsi="Verdana"/>
        </w:rPr>
      </w:pPr>
      <w:r w:rsidRPr="006010D0">
        <w:rPr>
          <w:rFonts w:ascii="Verdana" w:hAnsi="Verdana"/>
        </w:rPr>
        <w:t>El sistema español de relaciones laborales, de baja presencia y elevada audiencia y mayor aún influencia sindical, alimenta paradojas, como la que refleja la tabla 3.18 al comparar la satisfacción con el convenio que merece el aprobado, frente al suspenso hacia la acción de las organizaciones sindicales; organizaciones que, sin embargo, desde el inicio de la transición han sido las artífices de las mejoras de las condiciones de empleo del conjunto de los trabajadores asalariados, sobre la base de legitimación otorgada por los resultados de las elecciones sindicales.</w:t>
      </w:r>
    </w:p>
    <w:p w:rsidR="006010D0" w:rsidRPr="006010D0" w:rsidRDefault="006010D0" w:rsidP="006010D0">
      <w:pPr>
        <w:spacing w:line="240" w:lineRule="auto"/>
        <w:jc w:val="both"/>
        <w:rPr>
          <w:rFonts w:ascii="Verdana" w:hAnsi="Verdana"/>
        </w:rPr>
      </w:pPr>
      <w:proofErr w:type="spellStart"/>
      <w:r w:rsidRPr="006010D0">
        <w:rPr>
          <w:rFonts w:ascii="Verdana" w:hAnsi="Verdana"/>
        </w:rPr>
        <w:t>Toharia</w:t>
      </w:r>
      <w:proofErr w:type="spellEnd"/>
      <w:r w:rsidRPr="006010D0">
        <w:rPr>
          <w:rFonts w:ascii="Verdana" w:hAnsi="Verdana"/>
        </w:rPr>
        <w:t xml:space="preserve"> et al. (2011), por su parte, constatan, a partir de una muestra del conjunto de la población española mayor de edad, que en el año 2010 los sindicatos obtenían una confianza de 3,6 en una puntuación de 0 (ninguna confianza) a 10 (mucha). Dicha paradoja se une al desconocimiento de los asalariados sobre las normas y procedimientos que rigen la negociación de sus condiciones de empleo; por ejemplo según la ECVT 2010, sólo el 47,4% afirma que existe estructura negociadora en su empresa, o en la tabla 3.18 podemos ver que el conocimiento de la actividad sindical recibe la valoración más baja, lo que se une al hecho de desconocer que el convenio colectivo es fruto de la acción sindical. </w:t>
      </w:r>
    </w:p>
    <w:p w:rsidR="006010D0" w:rsidRPr="006010D0" w:rsidRDefault="006010D0" w:rsidP="006010D0">
      <w:pPr>
        <w:spacing w:line="240" w:lineRule="auto"/>
        <w:jc w:val="both"/>
        <w:rPr>
          <w:rFonts w:ascii="Verdana" w:hAnsi="Verdana"/>
        </w:rPr>
      </w:pPr>
      <w:r w:rsidRPr="006010D0">
        <w:rPr>
          <w:rFonts w:ascii="Verdana" w:hAnsi="Verdana"/>
        </w:rPr>
        <w:t xml:space="preserve">La paradoja es más evidente cuando un 70% aproximadamente de los trabajadores que puede votar participa en la elección de sus representantes sindicales. Posiblemente, una explicación a esa aparente incongruencia </w:t>
      </w:r>
      <w:r w:rsidRPr="006010D0">
        <w:rPr>
          <w:rFonts w:ascii="Verdana" w:hAnsi="Verdana"/>
        </w:rPr>
        <w:lastRenderedPageBreak/>
        <w:t xml:space="preserve">estribe en que esta última información recoge la opinión del conjunto de la población, no sólo la asalariada. </w:t>
      </w:r>
    </w:p>
    <w:p w:rsidR="006010D0" w:rsidRPr="006010D0" w:rsidRDefault="006010D0" w:rsidP="006010D0">
      <w:pPr>
        <w:spacing w:line="240" w:lineRule="auto"/>
        <w:jc w:val="both"/>
        <w:rPr>
          <w:rFonts w:ascii="Verdana" w:hAnsi="Verdana"/>
        </w:rPr>
      </w:pPr>
      <w:r w:rsidRPr="006010D0">
        <w:rPr>
          <w:rFonts w:ascii="Verdana" w:hAnsi="Verdana"/>
        </w:rPr>
        <w:t xml:space="preserve">En todo caso contemplando la tabla 3.18, puede suponerse que la confianza en los sindicatos tenderá a ser baja cuando no se tiene contacto directo con ellos, y que mejora con la proximidad, esto es, cuando éstos están presentes en la empresa. </w:t>
      </w:r>
    </w:p>
    <w:p w:rsidR="006010D0" w:rsidRPr="006010D0" w:rsidRDefault="006010D0" w:rsidP="006010D0">
      <w:pPr>
        <w:spacing w:line="240" w:lineRule="auto"/>
        <w:jc w:val="both"/>
        <w:rPr>
          <w:rFonts w:ascii="Verdana" w:hAnsi="Verdana"/>
        </w:rPr>
      </w:pPr>
      <w:r w:rsidRPr="006010D0">
        <w:rPr>
          <w:rFonts w:ascii="Verdana" w:hAnsi="Verdana"/>
        </w:rPr>
        <w:t xml:space="preserve">De hecho, la ECVT de 2010 muestra como el colectivo asalariado en su conjunto valora con un 4,8 la representación y defensa de sus intereses por parte de los sindicatos, en una escala de </w:t>
      </w:r>
      <w:smartTag w:uri="urn:schemas-microsoft-com:office:smarttags" w:element="metricconverter">
        <w:smartTagPr>
          <w:attr w:name="ProductID" w:val="0 a"/>
        </w:smartTagPr>
        <w:r w:rsidRPr="006010D0">
          <w:rPr>
            <w:rFonts w:ascii="Verdana" w:hAnsi="Verdana"/>
          </w:rPr>
          <w:t>0 a</w:t>
        </w:r>
      </w:smartTag>
      <w:r w:rsidRPr="006010D0">
        <w:rPr>
          <w:rFonts w:ascii="Verdana" w:hAnsi="Verdana"/>
        </w:rPr>
        <w:t xml:space="preserve"> 10; valoración que se reduce a 3,8 entre los asalariados de los centros de trabajo sin representación sindical y aumenta a 5,2 cuando está presente.</w:t>
      </w:r>
    </w:p>
    <w:p w:rsidR="006010D0" w:rsidRPr="006010D0" w:rsidRDefault="006010D0" w:rsidP="006010D0">
      <w:pPr>
        <w:spacing w:line="240" w:lineRule="auto"/>
        <w:jc w:val="both"/>
        <w:rPr>
          <w:rFonts w:ascii="Verdana" w:hAnsi="Verdana"/>
        </w:rPr>
      </w:pPr>
      <w:r w:rsidRPr="006010D0">
        <w:rPr>
          <w:rFonts w:ascii="Verdana" w:hAnsi="Verdana"/>
        </w:rPr>
        <w:t>En este último caso, además, la valoración va claramente de menos a más conforme aumenta el conocimiento de la actividad sindical. Del mismo modo en la misma tabla se observan diferencias substanciales entre los asalariados según el grado de relación con sus organizaciones representativas (afiliación). Romper barreras para aproximar la actividad sindical parece, pues, una tarea primordial para las organizaciones legales de los trabajadores, al objeto de ganar y sobre todo extender, su legitimidad entre los asalariados.</w:t>
      </w:r>
    </w:p>
    <w:p w:rsidR="006010D0" w:rsidRPr="006010D0" w:rsidRDefault="006010D0" w:rsidP="006010D0">
      <w:pPr>
        <w:spacing w:line="240" w:lineRule="auto"/>
        <w:rPr>
          <w:rFonts w:ascii="Verdana" w:hAnsi="Verdana"/>
        </w:rPr>
      </w:pPr>
    </w:p>
    <w:p w:rsidR="006010D0" w:rsidRPr="006010D0" w:rsidRDefault="006010D0" w:rsidP="006010D0">
      <w:pPr>
        <w:spacing w:line="240" w:lineRule="auto"/>
        <w:jc w:val="center"/>
        <w:rPr>
          <w:rFonts w:ascii="Verdana" w:hAnsi="Verdana"/>
        </w:rPr>
      </w:pPr>
      <w:r w:rsidRPr="006010D0">
        <w:rPr>
          <w:rFonts w:ascii="Verdana" w:hAnsi="Verdana"/>
        </w:rPr>
        <w:t>Tabla 3.18. Satisfacción con el convenio colectivo y la acción sindical y afiliación sindical</w:t>
      </w:r>
    </w:p>
    <w:tbl>
      <w:tblPr>
        <w:tblW w:w="7260" w:type="dxa"/>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088"/>
        <w:gridCol w:w="991"/>
        <w:gridCol w:w="1275"/>
        <w:gridCol w:w="1416"/>
        <w:gridCol w:w="1490"/>
      </w:tblGrid>
      <w:tr w:rsidR="006010D0" w:rsidRPr="006010D0" w:rsidTr="00111BCB">
        <w:trPr>
          <w:trHeight w:val="1188"/>
          <w:jc w:val="center"/>
        </w:trPr>
        <w:tc>
          <w:tcPr>
            <w:tcW w:w="3081" w:type="dxa"/>
            <w:gridSpan w:val="2"/>
            <w:vMerge w:val="restart"/>
            <w:tcBorders>
              <w:top w:val="single" w:sz="4" w:space="0" w:color="auto"/>
              <w:left w:val="single" w:sz="4" w:space="0" w:color="auto"/>
              <w:bottom w:val="single" w:sz="4" w:space="0" w:color="auto"/>
              <w:right w:val="single" w:sz="4" w:space="0" w:color="auto"/>
            </w:tcBorders>
            <w:noWrap/>
            <w:vAlign w:val="bottom"/>
          </w:tcPr>
          <w:p w:rsidR="006010D0" w:rsidRPr="006010D0" w:rsidRDefault="006010D0" w:rsidP="006010D0">
            <w:pPr>
              <w:spacing w:line="240" w:lineRule="auto"/>
              <w:rPr>
                <w:rFonts w:ascii="Verdana" w:hAnsi="Verdana" w:cs="Arial"/>
                <w:b/>
                <w:color w:val="000000"/>
                <w:sz w:val="20"/>
                <w:szCs w:val="20"/>
                <w:lang w:eastAsia="es-ES"/>
              </w:rPr>
            </w:pPr>
            <w:r w:rsidRPr="006010D0">
              <w:rPr>
                <w:rFonts w:ascii="Verdana" w:hAnsi="Verdana" w:cs="Arial"/>
                <w:b/>
                <w:color w:val="000000"/>
                <w:sz w:val="20"/>
                <w:szCs w:val="20"/>
                <w:lang w:eastAsia="es-ES"/>
              </w:rPr>
              <w:t>¿Está o ha estado afiliado a un sindicato?</w:t>
            </w:r>
          </w:p>
        </w:tc>
        <w:tc>
          <w:tcPr>
            <w:tcW w:w="1276" w:type="dxa"/>
            <w:tcBorders>
              <w:top w:val="single" w:sz="4" w:space="0" w:color="auto"/>
              <w:left w:val="single" w:sz="4" w:space="0" w:color="auto"/>
              <w:bottom w:val="single" w:sz="4" w:space="0" w:color="auto"/>
              <w:right w:val="single" w:sz="4" w:space="0" w:color="auto"/>
            </w:tcBorders>
            <w:vAlign w:val="bottom"/>
          </w:tcPr>
          <w:p w:rsidR="006010D0" w:rsidRPr="006010D0" w:rsidRDefault="006010D0" w:rsidP="006010D0">
            <w:pPr>
              <w:spacing w:line="240" w:lineRule="auto"/>
              <w:jc w:val="right"/>
              <w:rPr>
                <w:rFonts w:ascii="Verdana" w:hAnsi="Verdana" w:cs="Arial"/>
                <w:b/>
                <w:color w:val="000000"/>
                <w:sz w:val="20"/>
                <w:szCs w:val="20"/>
                <w:lang w:eastAsia="es-ES"/>
              </w:rPr>
            </w:pPr>
            <w:r w:rsidRPr="006010D0">
              <w:rPr>
                <w:rFonts w:ascii="Verdana" w:hAnsi="Verdana" w:cs="Arial"/>
                <w:b/>
                <w:color w:val="000000"/>
                <w:sz w:val="20"/>
                <w:szCs w:val="20"/>
                <w:lang w:eastAsia="es-ES"/>
              </w:rPr>
              <w:t>Satisfacción con su convenio o estatuto de regulación</w:t>
            </w:r>
          </w:p>
        </w:tc>
        <w:tc>
          <w:tcPr>
            <w:tcW w:w="1417" w:type="dxa"/>
            <w:tcBorders>
              <w:top w:val="single" w:sz="4" w:space="0" w:color="auto"/>
              <w:left w:val="single" w:sz="4" w:space="0" w:color="auto"/>
              <w:bottom w:val="single" w:sz="4" w:space="0" w:color="auto"/>
              <w:right w:val="single" w:sz="4" w:space="0" w:color="auto"/>
            </w:tcBorders>
            <w:vAlign w:val="bottom"/>
          </w:tcPr>
          <w:p w:rsidR="006010D0" w:rsidRPr="006010D0" w:rsidRDefault="006010D0" w:rsidP="006010D0">
            <w:pPr>
              <w:spacing w:line="240" w:lineRule="auto"/>
              <w:jc w:val="right"/>
              <w:rPr>
                <w:rFonts w:ascii="Verdana" w:hAnsi="Verdana" w:cs="Arial"/>
                <w:b/>
                <w:color w:val="000000"/>
                <w:sz w:val="20"/>
                <w:szCs w:val="20"/>
                <w:lang w:eastAsia="es-ES"/>
              </w:rPr>
            </w:pPr>
            <w:r w:rsidRPr="006010D0">
              <w:rPr>
                <w:rFonts w:ascii="Verdana" w:hAnsi="Verdana" w:cs="Arial"/>
                <w:b/>
                <w:color w:val="000000"/>
                <w:sz w:val="20"/>
                <w:szCs w:val="20"/>
                <w:lang w:eastAsia="es-ES"/>
              </w:rPr>
              <w:t>Conocimiento de la actividad sindical</w:t>
            </w:r>
          </w:p>
        </w:tc>
        <w:tc>
          <w:tcPr>
            <w:tcW w:w="1491" w:type="dxa"/>
            <w:tcBorders>
              <w:top w:val="single" w:sz="4" w:space="0" w:color="auto"/>
              <w:left w:val="single" w:sz="4" w:space="0" w:color="auto"/>
              <w:bottom w:val="single" w:sz="4" w:space="0" w:color="auto"/>
              <w:right w:val="single" w:sz="4" w:space="0" w:color="auto"/>
            </w:tcBorders>
            <w:vAlign w:val="bottom"/>
          </w:tcPr>
          <w:p w:rsidR="006010D0" w:rsidRPr="006010D0" w:rsidRDefault="006010D0" w:rsidP="006010D0">
            <w:pPr>
              <w:spacing w:line="240" w:lineRule="auto"/>
              <w:jc w:val="right"/>
              <w:rPr>
                <w:rFonts w:ascii="Verdana" w:hAnsi="Verdana" w:cs="Arial"/>
                <w:b/>
                <w:color w:val="000000"/>
                <w:sz w:val="20"/>
                <w:szCs w:val="20"/>
                <w:lang w:eastAsia="es-ES"/>
              </w:rPr>
            </w:pPr>
            <w:r w:rsidRPr="006010D0">
              <w:rPr>
                <w:rFonts w:ascii="Verdana" w:hAnsi="Verdana" w:cs="Arial"/>
                <w:b/>
                <w:color w:val="000000"/>
                <w:sz w:val="20"/>
                <w:szCs w:val="20"/>
                <w:lang w:eastAsia="es-ES"/>
              </w:rPr>
              <w:t>Valoración representación y defensa de sus intereses por sindicatos</w:t>
            </w:r>
          </w:p>
        </w:tc>
      </w:tr>
      <w:tr w:rsidR="006010D0" w:rsidRPr="006010D0" w:rsidTr="00111BCB">
        <w:trPr>
          <w:trHeight w:val="214"/>
          <w:jc w:val="center"/>
        </w:trPr>
        <w:tc>
          <w:tcPr>
            <w:tcW w:w="4073" w:type="dxa"/>
            <w:gridSpan w:val="2"/>
            <w:vMerge/>
            <w:tcBorders>
              <w:top w:val="single" w:sz="4" w:space="0" w:color="auto"/>
              <w:left w:val="single" w:sz="4" w:space="0" w:color="auto"/>
              <w:bottom w:val="single" w:sz="4" w:space="0" w:color="auto"/>
              <w:right w:val="single" w:sz="4" w:space="0" w:color="auto"/>
            </w:tcBorders>
            <w:vAlign w:val="center"/>
          </w:tcPr>
          <w:p w:rsidR="006010D0" w:rsidRPr="006010D0" w:rsidRDefault="006010D0" w:rsidP="006010D0">
            <w:pPr>
              <w:spacing w:line="240" w:lineRule="auto"/>
              <w:rPr>
                <w:rFonts w:ascii="Verdana" w:hAnsi="Verdana" w:cs="Arial"/>
                <w:b/>
                <w:color w:val="000000"/>
                <w:sz w:val="20"/>
                <w:szCs w:val="20"/>
                <w:lang w:eastAsia="es-ES"/>
              </w:rPr>
            </w:pPr>
          </w:p>
        </w:tc>
        <w:tc>
          <w:tcPr>
            <w:tcW w:w="4184" w:type="dxa"/>
            <w:gridSpan w:val="3"/>
            <w:tcBorders>
              <w:top w:val="single" w:sz="4" w:space="0" w:color="auto"/>
              <w:left w:val="single" w:sz="4" w:space="0" w:color="auto"/>
              <w:bottom w:val="single" w:sz="4" w:space="0" w:color="auto"/>
              <w:right w:val="single" w:sz="4" w:space="0" w:color="auto"/>
            </w:tcBorders>
            <w:vAlign w:val="bottom"/>
          </w:tcPr>
          <w:p w:rsidR="006010D0" w:rsidRPr="006010D0" w:rsidRDefault="006010D0" w:rsidP="006010D0">
            <w:pPr>
              <w:spacing w:line="240" w:lineRule="auto"/>
              <w:jc w:val="center"/>
              <w:rPr>
                <w:rFonts w:ascii="Verdana" w:hAnsi="Verdana" w:cs="Arial"/>
                <w:b/>
                <w:color w:val="000000"/>
                <w:sz w:val="20"/>
                <w:szCs w:val="20"/>
                <w:lang w:eastAsia="es-ES"/>
              </w:rPr>
            </w:pPr>
            <w:r w:rsidRPr="006010D0">
              <w:rPr>
                <w:rFonts w:ascii="Verdana" w:hAnsi="Verdana"/>
                <w:sz w:val="20"/>
                <w:szCs w:val="20"/>
              </w:rPr>
              <w:t>valoración de 0 (nada) a 10 (mucho)</w:t>
            </w:r>
          </w:p>
        </w:tc>
      </w:tr>
      <w:tr w:rsidR="006010D0" w:rsidRPr="006010D0" w:rsidTr="00111BCB">
        <w:trPr>
          <w:trHeight w:val="300"/>
          <w:jc w:val="center"/>
        </w:trPr>
        <w:tc>
          <w:tcPr>
            <w:tcW w:w="2089" w:type="dxa"/>
            <w:tcBorders>
              <w:top w:val="single" w:sz="4" w:space="0" w:color="auto"/>
              <w:left w:val="single" w:sz="4" w:space="0" w:color="auto"/>
              <w:bottom w:val="single" w:sz="4" w:space="0" w:color="auto"/>
              <w:right w:val="single" w:sz="4" w:space="0" w:color="auto"/>
            </w:tcBorders>
            <w:vAlign w:val="center"/>
          </w:tcPr>
          <w:p w:rsidR="006010D0" w:rsidRPr="006010D0" w:rsidRDefault="006010D0" w:rsidP="006010D0">
            <w:pPr>
              <w:spacing w:line="240" w:lineRule="auto"/>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 xml:space="preserve">Si lo </w:t>
            </w:r>
            <w:proofErr w:type="spellStart"/>
            <w:r w:rsidRPr="006010D0">
              <w:rPr>
                <w:rFonts w:ascii="Verdana" w:hAnsi="Verdana" w:cs="Arial"/>
                <w:color w:val="000000"/>
                <w:sz w:val="20"/>
                <w:szCs w:val="20"/>
                <w:lang w:val="en-US" w:eastAsia="es-ES"/>
              </w:rPr>
              <w:t>está</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18,9%</w:t>
            </w:r>
          </w:p>
        </w:tc>
        <w:tc>
          <w:tcPr>
            <w:tcW w:w="1276"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5,90</w:t>
            </w:r>
          </w:p>
        </w:tc>
        <w:tc>
          <w:tcPr>
            <w:tcW w:w="1417"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5,77</w:t>
            </w:r>
          </w:p>
        </w:tc>
        <w:tc>
          <w:tcPr>
            <w:tcW w:w="1491"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5,71</w:t>
            </w:r>
          </w:p>
        </w:tc>
      </w:tr>
      <w:tr w:rsidR="006010D0" w:rsidRPr="006010D0" w:rsidTr="00111BCB">
        <w:trPr>
          <w:trHeight w:val="300"/>
          <w:jc w:val="center"/>
        </w:trPr>
        <w:tc>
          <w:tcPr>
            <w:tcW w:w="2089" w:type="dxa"/>
            <w:tcBorders>
              <w:top w:val="single" w:sz="4" w:space="0" w:color="auto"/>
              <w:left w:val="single" w:sz="4" w:space="0" w:color="auto"/>
              <w:bottom w:val="single" w:sz="4" w:space="0" w:color="auto"/>
              <w:right w:val="single" w:sz="4" w:space="0" w:color="auto"/>
            </w:tcBorders>
            <w:vAlign w:val="center"/>
          </w:tcPr>
          <w:p w:rsidR="006010D0" w:rsidRPr="006010D0" w:rsidRDefault="006010D0" w:rsidP="006010D0">
            <w:pPr>
              <w:spacing w:line="240" w:lineRule="auto"/>
              <w:rPr>
                <w:rFonts w:ascii="Verdana" w:hAnsi="Verdana" w:cs="Arial"/>
                <w:color w:val="000000"/>
                <w:sz w:val="20"/>
                <w:szCs w:val="20"/>
                <w:lang w:eastAsia="es-ES"/>
              </w:rPr>
            </w:pPr>
            <w:r w:rsidRPr="006010D0">
              <w:rPr>
                <w:rFonts w:ascii="Verdana" w:hAnsi="Verdana" w:cs="Arial"/>
                <w:color w:val="000000"/>
                <w:sz w:val="20"/>
                <w:szCs w:val="20"/>
                <w:lang w:eastAsia="es-ES"/>
              </w:rPr>
              <w:t>Lo ha estado ahora no</w:t>
            </w:r>
          </w:p>
        </w:tc>
        <w:tc>
          <w:tcPr>
            <w:tcW w:w="992"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10,4%</w:t>
            </w:r>
          </w:p>
        </w:tc>
        <w:tc>
          <w:tcPr>
            <w:tcW w:w="1276"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5,34</w:t>
            </w:r>
          </w:p>
        </w:tc>
        <w:tc>
          <w:tcPr>
            <w:tcW w:w="1417"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4,56</w:t>
            </w:r>
          </w:p>
        </w:tc>
        <w:tc>
          <w:tcPr>
            <w:tcW w:w="1491"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4,06</w:t>
            </w:r>
          </w:p>
        </w:tc>
      </w:tr>
      <w:tr w:rsidR="006010D0" w:rsidRPr="006010D0" w:rsidTr="00111BCB">
        <w:trPr>
          <w:trHeight w:val="288"/>
          <w:jc w:val="center"/>
        </w:trPr>
        <w:tc>
          <w:tcPr>
            <w:tcW w:w="2089" w:type="dxa"/>
            <w:tcBorders>
              <w:top w:val="single" w:sz="4" w:space="0" w:color="auto"/>
              <w:left w:val="single" w:sz="4" w:space="0" w:color="auto"/>
              <w:bottom w:val="single" w:sz="4" w:space="0" w:color="auto"/>
              <w:right w:val="single" w:sz="4" w:space="0" w:color="auto"/>
            </w:tcBorders>
            <w:vAlign w:val="center"/>
          </w:tcPr>
          <w:p w:rsidR="006010D0" w:rsidRPr="006010D0" w:rsidRDefault="006010D0" w:rsidP="006010D0">
            <w:pPr>
              <w:spacing w:line="240" w:lineRule="auto"/>
              <w:rPr>
                <w:rFonts w:ascii="Verdana" w:hAnsi="Verdana" w:cs="Arial"/>
                <w:color w:val="000000"/>
                <w:sz w:val="20"/>
                <w:szCs w:val="20"/>
                <w:lang w:val="en-US" w:eastAsia="es-ES"/>
              </w:rPr>
            </w:pPr>
            <w:proofErr w:type="spellStart"/>
            <w:r w:rsidRPr="006010D0">
              <w:rPr>
                <w:rFonts w:ascii="Verdana" w:hAnsi="Verdana" w:cs="Arial"/>
                <w:color w:val="000000"/>
                <w:sz w:val="20"/>
                <w:szCs w:val="20"/>
                <w:lang w:val="en-US" w:eastAsia="es-ES"/>
              </w:rPr>
              <w:t>Nunca</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70,7%</w:t>
            </w:r>
          </w:p>
        </w:tc>
        <w:tc>
          <w:tcPr>
            <w:tcW w:w="1276"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5,81</w:t>
            </w:r>
          </w:p>
        </w:tc>
        <w:tc>
          <w:tcPr>
            <w:tcW w:w="1417"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2,56</w:t>
            </w:r>
          </w:p>
        </w:tc>
        <w:tc>
          <w:tcPr>
            <w:tcW w:w="1491"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4,34</w:t>
            </w:r>
          </w:p>
        </w:tc>
      </w:tr>
      <w:tr w:rsidR="006010D0" w:rsidRPr="006010D0" w:rsidTr="00111BCB">
        <w:trPr>
          <w:trHeight w:val="300"/>
          <w:jc w:val="center"/>
        </w:trPr>
        <w:tc>
          <w:tcPr>
            <w:tcW w:w="2089" w:type="dxa"/>
            <w:tcBorders>
              <w:top w:val="single" w:sz="4" w:space="0" w:color="auto"/>
              <w:left w:val="single" w:sz="4" w:space="0" w:color="auto"/>
              <w:bottom w:val="single" w:sz="4" w:space="0" w:color="auto"/>
              <w:right w:val="single" w:sz="4" w:space="0" w:color="auto"/>
            </w:tcBorders>
            <w:vAlign w:val="center"/>
          </w:tcPr>
          <w:p w:rsidR="006010D0" w:rsidRPr="006010D0" w:rsidRDefault="006010D0" w:rsidP="006010D0">
            <w:pPr>
              <w:spacing w:line="240" w:lineRule="auto"/>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Total</w:t>
            </w:r>
          </w:p>
        </w:tc>
        <w:tc>
          <w:tcPr>
            <w:tcW w:w="992"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100,0%</w:t>
            </w:r>
          </w:p>
        </w:tc>
        <w:tc>
          <w:tcPr>
            <w:tcW w:w="1276"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5,78</w:t>
            </w:r>
          </w:p>
        </w:tc>
        <w:tc>
          <w:tcPr>
            <w:tcW w:w="1417"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3,37</w:t>
            </w:r>
          </w:p>
        </w:tc>
        <w:tc>
          <w:tcPr>
            <w:tcW w:w="1491" w:type="dxa"/>
            <w:tcBorders>
              <w:top w:val="single" w:sz="4" w:space="0" w:color="auto"/>
              <w:left w:val="single" w:sz="4" w:space="0" w:color="auto"/>
              <w:bottom w:val="single" w:sz="4" w:space="0" w:color="auto"/>
              <w:right w:val="single" w:sz="4" w:space="0" w:color="auto"/>
            </w:tcBorders>
            <w:noWrap/>
            <w:vAlign w:val="center"/>
          </w:tcPr>
          <w:p w:rsidR="006010D0" w:rsidRPr="006010D0" w:rsidRDefault="006010D0" w:rsidP="006010D0">
            <w:pPr>
              <w:spacing w:line="240" w:lineRule="auto"/>
              <w:jc w:val="right"/>
              <w:rPr>
                <w:rFonts w:ascii="Verdana" w:hAnsi="Verdana" w:cs="Arial"/>
                <w:color w:val="000000"/>
                <w:sz w:val="20"/>
                <w:szCs w:val="20"/>
                <w:lang w:val="en-US" w:eastAsia="es-ES"/>
              </w:rPr>
            </w:pPr>
            <w:r w:rsidRPr="006010D0">
              <w:rPr>
                <w:rFonts w:ascii="Verdana" w:hAnsi="Verdana" w:cs="Arial"/>
                <w:color w:val="000000"/>
                <w:sz w:val="20"/>
                <w:szCs w:val="20"/>
                <w:lang w:val="en-US" w:eastAsia="es-ES"/>
              </w:rPr>
              <w:t>4,76</w:t>
            </w:r>
          </w:p>
        </w:tc>
      </w:tr>
    </w:tbl>
    <w:p w:rsidR="006010D0" w:rsidRPr="006010D0" w:rsidRDefault="006010D0" w:rsidP="006010D0">
      <w:pPr>
        <w:spacing w:line="240" w:lineRule="auto"/>
        <w:jc w:val="center"/>
        <w:rPr>
          <w:rFonts w:ascii="Verdana" w:hAnsi="Verdana"/>
          <w:sz w:val="20"/>
          <w:szCs w:val="20"/>
        </w:rPr>
      </w:pPr>
      <w:r w:rsidRPr="006010D0">
        <w:rPr>
          <w:rFonts w:ascii="Verdana" w:hAnsi="Verdana"/>
          <w:sz w:val="20"/>
          <w:szCs w:val="20"/>
        </w:rPr>
        <w:t>Fuente: con datos de ECVT 2010</w:t>
      </w:r>
    </w:p>
    <w:p w:rsidR="006010D0" w:rsidRPr="006010D0" w:rsidRDefault="006010D0" w:rsidP="006010D0">
      <w:pPr>
        <w:spacing w:line="240" w:lineRule="auto"/>
        <w:jc w:val="both"/>
        <w:rPr>
          <w:rFonts w:ascii="Verdana" w:hAnsi="Verdana"/>
        </w:rPr>
      </w:pPr>
      <w:r w:rsidRPr="006010D0">
        <w:rPr>
          <w:rFonts w:ascii="Verdana" w:hAnsi="Verdana"/>
        </w:rPr>
        <w:t xml:space="preserve">A continuación se muestran dos gráficos. El primero (gráfico 3.7) recoge la opinión de los trabajadores que tienen algún conocimiento de la actividad sindical (se excluye, por tanto, al 38,5% de asalariados que manifiesta no tener ningún conocimiento). Los trabajadores valoran (puntuación en el eje vertical) el sindicato en la defensa de sus intereses, los beneficios del sindicato en la empresa y los beneficios de estar afiliado; valoración que </w:t>
      </w:r>
      <w:r w:rsidRPr="006010D0">
        <w:rPr>
          <w:rFonts w:ascii="Verdana" w:hAnsi="Verdana"/>
        </w:rPr>
        <w:lastRenderedPageBreak/>
        <w:t xml:space="preserve">dan según el menor (izquierda del gráfico) o mayor (derecha) conocimiento de la actividad sindical. El gráfico muestra como a mayor conocimiento, mejora la valoración de la actividad sindical. Es un hecho significativo, a retener. En columnas se indica qué proporción de trabajadores, o cómo se distribuyen en función del conocimiento que tienen de la actividad sindical. </w:t>
      </w:r>
    </w:p>
    <w:p w:rsidR="006010D0" w:rsidRPr="006010D0" w:rsidRDefault="006010D0" w:rsidP="006010D0">
      <w:pPr>
        <w:spacing w:line="240" w:lineRule="auto"/>
        <w:rPr>
          <w:rFonts w:ascii="Verdana" w:hAnsi="Verdana"/>
        </w:rPr>
      </w:pPr>
    </w:p>
    <w:p w:rsidR="006010D0" w:rsidRPr="006010D0" w:rsidRDefault="006010D0" w:rsidP="006010D0">
      <w:pPr>
        <w:spacing w:line="240" w:lineRule="auto"/>
        <w:jc w:val="center"/>
        <w:rPr>
          <w:rFonts w:ascii="Verdana" w:hAnsi="Verdana"/>
        </w:rPr>
      </w:pPr>
      <w:r w:rsidRPr="006010D0">
        <w:rPr>
          <w:rFonts w:ascii="Verdana" w:hAnsi="Verdana"/>
        </w:rPr>
        <w:t xml:space="preserve">Gráfico 3.7. Valoración de la actividad sindical (de 0 –nada- a 10 –mucho-) según conocimiento de la misma (de 0 –nada- a 10 –mucho-) </w:t>
      </w:r>
    </w:p>
    <w:p w:rsidR="006010D0" w:rsidRPr="006010D0" w:rsidRDefault="006010D0" w:rsidP="006010D0">
      <w:pPr>
        <w:spacing w:line="240" w:lineRule="auto"/>
        <w:jc w:val="center"/>
        <w:rPr>
          <w:rFonts w:ascii="Verdana" w:hAnsi="Verdana"/>
          <w:sz w:val="24"/>
          <w:szCs w:val="24"/>
        </w:rPr>
      </w:pPr>
      <w:r w:rsidRPr="006010D0">
        <w:rPr>
          <w:rFonts w:ascii="Verdana" w:hAnsi="Verdana"/>
          <w:noProof/>
          <w:sz w:val="24"/>
          <w:szCs w:val="24"/>
          <w:lang w:eastAsia="es-ES"/>
        </w:rPr>
        <w:drawing>
          <wp:inline distT="0" distB="0" distL="0" distR="0" wp14:anchorId="34C1BF9A" wp14:editId="07E0355D">
            <wp:extent cx="4334510" cy="2496820"/>
            <wp:effectExtent l="19050" t="0" r="8890" b="0"/>
            <wp:docPr id="1"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8" cstate="print"/>
                    <a:srcRect b="-50"/>
                    <a:stretch>
                      <a:fillRect/>
                    </a:stretch>
                  </pic:blipFill>
                  <pic:spPr bwMode="auto">
                    <a:xfrm>
                      <a:off x="0" y="0"/>
                      <a:ext cx="4334510" cy="2496820"/>
                    </a:xfrm>
                    <a:prstGeom prst="rect">
                      <a:avLst/>
                    </a:prstGeom>
                    <a:noFill/>
                    <a:ln w="9525">
                      <a:noFill/>
                      <a:miter lim="800000"/>
                      <a:headEnd/>
                      <a:tailEnd/>
                    </a:ln>
                  </pic:spPr>
                </pic:pic>
              </a:graphicData>
            </a:graphic>
          </wp:inline>
        </w:drawing>
      </w:r>
    </w:p>
    <w:p w:rsidR="006010D0" w:rsidRPr="006010D0" w:rsidRDefault="006010D0" w:rsidP="006010D0">
      <w:pPr>
        <w:keepNext/>
        <w:keepLines/>
        <w:spacing w:line="240" w:lineRule="auto"/>
        <w:jc w:val="center"/>
        <w:rPr>
          <w:rFonts w:ascii="Verdana" w:hAnsi="Verdana"/>
          <w:sz w:val="20"/>
          <w:szCs w:val="20"/>
        </w:rPr>
      </w:pPr>
      <w:r w:rsidRPr="006010D0">
        <w:rPr>
          <w:rFonts w:ascii="Verdana" w:hAnsi="Verdana"/>
          <w:sz w:val="20"/>
          <w:szCs w:val="20"/>
        </w:rPr>
        <w:t>Nota: en columnas la distribución de los trabajadores según conocimiento de la actividad sindical (excluidos el 38,5% de los trabajadores que manifiesta no tener ningún conocimiento)</w:t>
      </w:r>
    </w:p>
    <w:p w:rsidR="006010D0" w:rsidRPr="006010D0" w:rsidRDefault="006010D0" w:rsidP="006010D0">
      <w:pPr>
        <w:keepNext/>
        <w:keepLines/>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rPr>
          <w:rFonts w:ascii="Verdana" w:hAnsi="Verdana"/>
        </w:rPr>
      </w:pPr>
    </w:p>
    <w:p w:rsidR="006010D0" w:rsidRPr="006010D0" w:rsidRDefault="006010D0" w:rsidP="006010D0">
      <w:pPr>
        <w:spacing w:line="240" w:lineRule="auto"/>
        <w:jc w:val="both"/>
        <w:rPr>
          <w:rFonts w:ascii="Verdana" w:hAnsi="Verdana"/>
        </w:rPr>
      </w:pPr>
      <w:r w:rsidRPr="006010D0">
        <w:rPr>
          <w:rFonts w:ascii="Verdana" w:hAnsi="Verdana"/>
        </w:rPr>
        <w:t>El segundo gráfico (3.8) reproduce las mismas valoraciones, pero en este caso en función del volumen de actividad sindical en la empresa (que los trabajadores deben puntuar de 0 –nada- a 10 –mucha-); se excluye al 58,9% de asalariados que manifiesta que en su empresa el volumen de actividad sindical es nulo. El gráfico muestra perfectamente que cuanto mayor es (o se conoce) la actividad sindical, mucho mejor se valora la actuación sindical: de puntuaciones medias cercanas a 2 cuando la actividad es muy limitada, a superiores a 7 e incluso a 8 cuando la actividad sindical es intensa. En otras palabras, se valora poco a los sindicatos cuando intervienen poco en la empresa y se les valora altamente cuando consiguen una gran presencia. Recordemos que se recoge las opiniones de todos los asalariados, de pequeñas, medianas y grandes empresas. En este caso las columnas indican la distribución de los trabajadores según el nivel de conocimiento que tienen de la actividad sindical.</w:t>
      </w:r>
    </w:p>
    <w:p w:rsidR="006010D0" w:rsidRPr="006010D0" w:rsidRDefault="006010D0" w:rsidP="006010D0">
      <w:pPr>
        <w:spacing w:line="240" w:lineRule="auto"/>
        <w:rPr>
          <w:rFonts w:ascii="Verdana" w:hAnsi="Verdana"/>
        </w:rPr>
      </w:pPr>
    </w:p>
    <w:p w:rsidR="006010D0" w:rsidRPr="006010D0" w:rsidRDefault="006010D0" w:rsidP="006010D0">
      <w:pPr>
        <w:keepNext/>
        <w:keepLines/>
        <w:spacing w:line="240" w:lineRule="auto"/>
        <w:jc w:val="center"/>
        <w:rPr>
          <w:rFonts w:ascii="Verdana" w:hAnsi="Verdana"/>
        </w:rPr>
      </w:pPr>
      <w:r w:rsidRPr="006010D0">
        <w:rPr>
          <w:rFonts w:ascii="Verdana" w:hAnsi="Verdana"/>
        </w:rPr>
        <w:lastRenderedPageBreak/>
        <w:t>Gráfico 3.8. Valoración de la actividad sindical (de 0 –nada- a 10 –mucho-) según volumen de la misma (de 0 –nulo- a 10 –mucho-)</w:t>
      </w:r>
    </w:p>
    <w:p w:rsidR="006010D0" w:rsidRPr="006010D0" w:rsidRDefault="006010D0" w:rsidP="006010D0">
      <w:pPr>
        <w:keepNext/>
        <w:keepLines/>
        <w:spacing w:line="240" w:lineRule="auto"/>
        <w:jc w:val="center"/>
        <w:rPr>
          <w:rFonts w:ascii="Verdana" w:hAnsi="Verdana"/>
          <w:sz w:val="24"/>
          <w:szCs w:val="24"/>
        </w:rPr>
      </w:pPr>
      <w:r w:rsidRPr="006010D0">
        <w:rPr>
          <w:rFonts w:ascii="Verdana" w:hAnsi="Verdana"/>
          <w:noProof/>
          <w:sz w:val="24"/>
          <w:szCs w:val="24"/>
          <w:lang w:eastAsia="es-ES"/>
        </w:rPr>
        <w:drawing>
          <wp:inline distT="0" distB="0" distL="0" distR="0" wp14:anchorId="3E57A0D4" wp14:editId="42C1C8E5">
            <wp:extent cx="4316730" cy="2259330"/>
            <wp:effectExtent l="19050" t="0" r="7620" b="0"/>
            <wp:docPr id="13"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9" cstate="print"/>
                    <a:srcRect b="-56"/>
                    <a:stretch>
                      <a:fillRect/>
                    </a:stretch>
                  </pic:blipFill>
                  <pic:spPr bwMode="auto">
                    <a:xfrm>
                      <a:off x="0" y="0"/>
                      <a:ext cx="4316730" cy="2259330"/>
                    </a:xfrm>
                    <a:prstGeom prst="rect">
                      <a:avLst/>
                    </a:prstGeom>
                    <a:noFill/>
                    <a:ln w="9525">
                      <a:noFill/>
                      <a:miter lim="800000"/>
                      <a:headEnd/>
                      <a:tailEnd/>
                    </a:ln>
                  </pic:spPr>
                </pic:pic>
              </a:graphicData>
            </a:graphic>
          </wp:inline>
        </w:drawing>
      </w:r>
    </w:p>
    <w:p w:rsidR="006010D0" w:rsidRPr="006010D0" w:rsidRDefault="006010D0" w:rsidP="006010D0">
      <w:pPr>
        <w:keepNext/>
        <w:keepLines/>
        <w:spacing w:line="240" w:lineRule="auto"/>
        <w:jc w:val="center"/>
        <w:rPr>
          <w:rFonts w:ascii="Verdana" w:hAnsi="Verdana"/>
          <w:sz w:val="20"/>
          <w:szCs w:val="20"/>
        </w:rPr>
      </w:pPr>
      <w:r w:rsidRPr="006010D0">
        <w:rPr>
          <w:rFonts w:ascii="Verdana" w:hAnsi="Verdana"/>
          <w:sz w:val="20"/>
          <w:szCs w:val="20"/>
        </w:rPr>
        <w:t>Nota: en columnas la distribución de los trabajadores según volumen de la actividad sindical (excluidos el 58,9% de los trabajadores que manifiesta que en su empresa es nulo).</w:t>
      </w:r>
    </w:p>
    <w:p w:rsidR="006010D0" w:rsidRPr="006010D0" w:rsidRDefault="006010D0" w:rsidP="006010D0">
      <w:pPr>
        <w:keepNext/>
        <w:keepLines/>
        <w:spacing w:line="240" w:lineRule="auto"/>
        <w:jc w:val="center"/>
        <w:rPr>
          <w:rFonts w:ascii="Verdana" w:hAnsi="Verdana"/>
          <w:sz w:val="20"/>
          <w:szCs w:val="20"/>
        </w:rPr>
      </w:pPr>
      <w:r w:rsidRPr="006010D0">
        <w:rPr>
          <w:rFonts w:ascii="Verdana" w:hAnsi="Verdana"/>
          <w:sz w:val="20"/>
          <w:szCs w:val="20"/>
        </w:rPr>
        <w:t>Fuente: con datos de ECVT</w:t>
      </w:r>
    </w:p>
    <w:p w:rsidR="006010D0" w:rsidRPr="006010D0" w:rsidRDefault="006010D0" w:rsidP="006010D0">
      <w:pPr>
        <w:spacing w:line="240" w:lineRule="auto"/>
        <w:jc w:val="both"/>
        <w:rPr>
          <w:rFonts w:ascii="Verdana" w:hAnsi="Verdana"/>
        </w:rPr>
      </w:pPr>
    </w:p>
    <w:p w:rsidR="006010D0" w:rsidRPr="006010D0" w:rsidRDefault="006010D0" w:rsidP="006010D0">
      <w:pPr>
        <w:keepNext/>
        <w:keepLines/>
        <w:spacing w:line="240" w:lineRule="auto"/>
        <w:rPr>
          <w:rFonts w:ascii="Verdana" w:hAnsi="Verdana"/>
          <w:b/>
          <w:lang w:val="es-ES_tradnl"/>
        </w:rPr>
      </w:pPr>
      <w:r>
        <w:rPr>
          <w:rFonts w:ascii="Verdana" w:hAnsi="Verdana"/>
          <w:b/>
          <w:lang w:val="es-ES_tradnl"/>
        </w:rPr>
        <w:t>IV.- CONCLUSIONES</w:t>
      </w:r>
    </w:p>
    <w:p w:rsidR="006010D0" w:rsidRPr="006010D0" w:rsidRDefault="006010D0" w:rsidP="006010D0">
      <w:pPr>
        <w:keepNext/>
        <w:keepLines/>
        <w:spacing w:line="240" w:lineRule="auto"/>
        <w:jc w:val="both"/>
        <w:rPr>
          <w:rFonts w:ascii="Verdana" w:hAnsi="Verdana"/>
          <w:lang w:val="es-ES_tradnl"/>
        </w:rPr>
      </w:pPr>
      <w:r w:rsidRPr="006010D0">
        <w:rPr>
          <w:rFonts w:ascii="Verdana" w:hAnsi="Verdana"/>
          <w:lang w:val="es-ES_tradnl"/>
        </w:rPr>
        <w:t>Del panorama europeo aportado por las Encuestas ESS y ECS, basadas en la percepción de los entrevistados, destaca:</w:t>
      </w:r>
    </w:p>
    <w:p w:rsidR="006010D0" w:rsidRPr="006010D0" w:rsidRDefault="006010D0" w:rsidP="006010D0">
      <w:pPr>
        <w:spacing w:line="240" w:lineRule="auto"/>
        <w:jc w:val="both"/>
        <w:rPr>
          <w:rFonts w:ascii="Verdana" w:hAnsi="Verdana"/>
          <w:i/>
          <w:lang w:val="es-ES_tradnl"/>
        </w:rPr>
      </w:pPr>
      <w:r w:rsidRPr="006010D0">
        <w:rPr>
          <w:rFonts w:ascii="Verdana" w:hAnsi="Verdana"/>
          <w:i/>
          <w:lang w:val="es-ES_tradnl"/>
        </w:rPr>
        <w:t>A. La respuesta de los trabajadores (ESS):</w:t>
      </w:r>
    </w:p>
    <w:p w:rsidR="006010D0" w:rsidRPr="006010D0" w:rsidRDefault="006010D0" w:rsidP="006010D0">
      <w:pPr>
        <w:pStyle w:val="Prrafodelista"/>
        <w:numPr>
          <w:ilvl w:val="0"/>
          <w:numId w:val="15"/>
        </w:numPr>
        <w:spacing w:line="240" w:lineRule="auto"/>
        <w:jc w:val="both"/>
        <w:rPr>
          <w:rFonts w:ascii="Verdana" w:hAnsi="Verdana"/>
          <w:lang w:val="es-ES_tradnl"/>
        </w:rPr>
      </w:pPr>
      <w:r w:rsidRPr="006010D0">
        <w:rPr>
          <w:rFonts w:ascii="Verdana" w:hAnsi="Verdana"/>
          <w:lang w:val="es-ES_tradnl"/>
        </w:rPr>
        <w:t xml:space="preserve">La representación sindical en la empresa a nivel europeo, se corresponde a grandes rasgos a un </w:t>
      </w:r>
      <w:r w:rsidRPr="006010D0">
        <w:rPr>
          <w:rFonts w:ascii="Verdana" w:hAnsi="Verdana"/>
          <w:i/>
          <w:lang w:val="es-ES_tradnl"/>
        </w:rPr>
        <w:t>mix</w:t>
      </w:r>
      <w:r w:rsidRPr="006010D0">
        <w:rPr>
          <w:rFonts w:ascii="Verdana" w:hAnsi="Verdana"/>
          <w:lang w:val="es-ES_tradnl"/>
        </w:rPr>
        <w:t xml:space="preserve"> entre la presencia (afiliación) y la audiencia (elección), según modelo sindical o sistema de relaciones laborales. La proporción más elevada de trabajadores con representación en la empresa corresponde a los países nórdicos (países de alta afiliación), seguidos de los países de la Europa continental (con afiliación media, pero elevada audiencia), continúan los países liberales (afiliación media) y, finalmente los países del sur de Europa (baja afiliación, alta audiencia).</w:t>
      </w:r>
    </w:p>
    <w:p w:rsidR="006010D0" w:rsidRPr="006010D0" w:rsidRDefault="006010D0" w:rsidP="006010D0">
      <w:pPr>
        <w:pStyle w:val="Prrafodelista"/>
        <w:numPr>
          <w:ilvl w:val="0"/>
          <w:numId w:val="15"/>
        </w:numPr>
        <w:spacing w:line="240" w:lineRule="auto"/>
        <w:jc w:val="both"/>
        <w:rPr>
          <w:rFonts w:ascii="Verdana" w:hAnsi="Verdana"/>
          <w:lang w:val="es-ES_tradnl"/>
        </w:rPr>
      </w:pPr>
      <w:r w:rsidRPr="006010D0">
        <w:rPr>
          <w:rFonts w:ascii="Verdana" w:hAnsi="Verdana"/>
          <w:lang w:val="es-ES_tradnl"/>
        </w:rPr>
        <w:t>Por tamaño de empresa se mantiene la pauta anterior, aunque aquí los países nórdicos dejan atrás al resto tanto en representación en la gran empresa, como en la pequeña (y con menores diferencias entre unas y otras). La representación en la gran empresas (el promedio para todos los países es del 70,5%) siempre es superior a las pequeñas (con un promedio del 37,3%). España se sitúa en un nivel intermedio alto en representación en la gran empresa (64,9%) y en un nivel intermedio bajo (25,2%) en las pequeñas.</w:t>
      </w:r>
    </w:p>
    <w:p w:rsidR="006010D0" w:rsidRPr="006010D0" w:rsidRDefault="006010D0" w:rsidP="006010D0">
      <w:pPr>
        <w:pStyle w:val="Prrafodelista"/>
        <w:numPr>
          <w:ilvl w:val="0"/>
          <w:numId w:val="15"/>
        </w:numPr>
        <w:spacing w:line="240" w:lineRule="auto"/>
        <w:jc w:val="both"/>
        <w:rPr>
          <w:rFonts w:ascii="Verdana" w:hAnsi="Verdana"/>
        </w:rPr>
      </w:pPr>
      <w:r w:rsidRPr="006010D0">
        <w:rPr>
          <w:rFonts w:ascii="Verdana" w:hAnsi="Verdana"/>
        </w:rPr>
        <w:t xml:space="preserve">La relación entre los trabajadores afiliados a un sindicato y que responden afirmativamente a la pregunta sobre si existe representación sindical en su empresa es naturalmente alta (un promedio del 88% para </w:t>
      </w:r>
      <w:r w:rsidRPr="006010D0">
        <w:rPr>
          <w:rFonts w:ascii="Verdana" w:hAnsi="Verdana"/>
        </w:rPr>
        <w:lastRenderedPageBreak/>
        <w:t xml:space="preserve">todo el conjunto de países); pero es más fuerte en los países del este y del centro Europa, junto con los del grupo liberal, Francia e Italia (por encima del 90% y alcanzando el 98%). España muestra una relación algo más débil (82%) que la mayoría de países, a excepción de Dinamarca, Bélgica y Portugal (69-74%). </w:t>
      </w:r>
    </w:p>
    <w:p w:rsidR="006010D0" w:rsidRPr="006010D0" w:rsidRDefault="006010D0" w:rsidP="006010D0">
      <w:pPr>
        <w:pStyle w:val="Prrafodelista"/>
        <w:numPr>
          <w:ilvl w:val="0"/>
          <w:numId w:val="15"/>
        </w:numPr>
        <w:spacing w:line="240" w:lineRule="auto"/>
        <w:jc w:val="both"/>
        <w:rPr>
          <w:rFonts w:ascii="Verdana" w:hAnsi="Verdana"/>
        </w:rPr>
      </w:pPr>
      <w:r w:rsidRPr="006010D0">
        <w:rPr>
          <w:rFonts w:ascii="Verdana" w:hAnsi="Verdana"/>
        </w:rPr>
        <w:t>Sobre las dificultades que puede encontrar el sindicato para determinar las condiciones laborales es elocuente la diferencia entre el promedio europeo de los que lo perciben difícil (31%) y los que lo encuentran fácil (25%). Ahora bien, hay diferencias por países de manera que los que relativamente perciben más fácil que el sindicato pueda determinar las condiciones laborales están los trabajadores nórdicos y de los países liberales, ya que el 30-35% de los entrevistados responde que lo encuentra fácil y el 18-24% difícil. En cambio los mayores niveles de dificultad (38-39% de las respuestas) se hallan en los países del este y Alemania y Austria. España se sitúa en un nivel intermedio con alrededor del 29% de las respuestas subrayando tanto la facilidad, como la dificultad.</w:t>
      </w:r>
    </w:p>
    <w:p w:rsidR="006010D0" w:rsidRPr="006010D0" w:rsidRDefault="006010D0" w:rsidP="006010D0">
      <w:pPr>
        <w:pStyle w:val="Prrafodelista"/>
        <w:spacing w:line="240" w:lineRule="auto"/>
        <w:ind w:left="0"/>
        <w:jc w:val="both"/>
        <w:rPr>
          <w:rFonts w:ascii="Verdana" w:hAnsi="Verdana"/>
          <w:i/>
        </w:rPr>
      </w:pPr>
      <w:r w:rsidRPr="006010D0">
        <w:rPr>
          <w:rFonts w:ascii="Verdana" w:hAnsi="Verdana"/>
          <w:i/>
        </w:rPr>
        <w:t>B. La respuesta de los representantes de los trabajadores (ECS):</w:t>
      </w:r>
    </w:p>
    <w:p w:rsidR="006010D0" w:rsidRPr="006010D0" w:rsidRDefault="006010D0" w:rsidP="006010D0">
      <w:pPr>
        <w:pStyle w:val="Prrafodelista"/>
        <w:numPr>
          <w:ilvl w:val="0"/>
          <w:numId w:val="17"/>
        </w:numPr>
        <w:spacing w:line="240" w:lineRule="auto"/>
        <w:jc w:val="both"/>
        <w:rPr>
          <w:rFonts w:ascii="Verdana" w:hAnsi="Verdana"/>
        </w:rPr>
      </w:pPr>
      <w:r w:rsidRPr="006010D0">
        <w:rPr>
          <w:rFonts w:ascii="Verdana" w:hAnsi="Verdana"/>
        </w:rPr>
        <w:t>Nuevamente es en los países nórdicos donde se da una mayor afiliación sindical entre los representantes de los trabajadores. En España, alrededor de un 42% de los delegados entrevistados afirma que el porcentaje de representantes afiliados al sindicato está por debajo del 20% o que no hay ninguno. Por el contrario, solo un 6% cree que este porcentaje se encuentra por encima del 80%. Esta percepción contrasta con que alrededor de un 50% de los delegados en representación de CCOO está afiliado al sindicato.</w:t>
      </w:r>
    </w:p>
    <w:p w:rsidR="006010D0" w:rsidRPr="006010D0" w:rsidRDefault="006010D0" w:rsidP="006010D0">
      <w:pPr>
        <w:pStyle w:val="Prrafodelista"/>
        <w:numPr>
          <w:ilvl w:val="0"/>
          <w:numId w:val="19"/>
        </w:numPr>
        <w:spacing w:line="240" w:lineRule="auto"/>
        <w:jc w:val="both"/>
        <w:rPr>
          <w:rFonts w:ascii="Verdana" w:hAnsi="Verdana"/>
        </w:rPr>
      </w:pPr>
      <w:r w:rsidRPr="006010D0">
        <w:rPr>
          <w:rFonts w:ascii="Verdana" w:hAnsi="Verdana"/>
        </w:rPr>
        <w:t>El análisis de la percepción que tienen los representantes de los trabajadores del apoyo de éstos hacia su acción en la empresa, permite observar que la distribución de la percepción entre los diferentes países no sigue un patrón mediante el que puedan ser fácilmente identificables los tradicionales modelos de relaciones laborales. España se sitúa en una posición media baja, según la cual el 75,5% de los entrevistados opina que está de acuerdo o muy de acuerdo en que reciben apoyo de los trabajadores.</w:t>
      </w:r>
    </w:p>
    <w:p w:rsidR="006010D0" w:rsidRPr="006010D0" w:rsidRDefault="006010D0" w:rsidP="006010D0">
      <w:pPr>
        <w:pStyle w:val="Prrafodelista"/>
        <w:numPr>
          <w:ilvl w:val="0"/>
          <w:numId w:val="15"/>
        </w:numPr>
        <w:spacing w:line="240" w:lineRule="auto"/>
        <w:jc w:val="both"/>
        <w:rPr>
          <w:rFonts w:ascii="Verdana" w:hAnsi="Verdana"/>
        </w:rPr>
      </w:pPr>
      <w:r w:rsidRPr="006010D0">
        <w:rPr>
          <w:rFonts w:ascii="Verdana" w:hAnsi="Verdana"/>
        </w:rPr>
        <w:t xml:space="preserve">En definitiva de las encuestas europeas se desprende la persistencia de los modelos sindicales y sistemas de relaciones laborales en términos de la estructura de representación adoptada, es decir, basada en la presencia (afiliación) y la audiencia (elección o representatividad). No obstante, hay algunos factores transversales que también influyen notoriamente, añadiéndose a la influencia nacional o institucional. Uno de ellos es el tamaño de la empresa y el otro el sector. La vinculación entre trabajadores y sus representantes parece mayor en aquellos países basados en la presencia (nórdicos y liberales) en términos de percepción de la existencia de representación y de su capacidad de determinar las condiciones laborales, o también del alto apoyo que según los representantes les otorgaran sus representados. Por lo que respecta a las organizaciones que operan en España se mueven en el interior de lo que podríamos caracterizar como espectro medio-bajo de </w:t>
      </w:r>
      <w:r w:rsidRPr="006010D0">
        <w:rPr>
          <w:rFonts w:ascii="Verdana" w:hAnsi="Verdana"/>
        </w:rPr>
        <w:lastRenderedPageBreak/>
        <w:t>la representación de los trabajadores en la empresa europea; con algunas dificultades específicas. Pero también debe anotarse que, excepto los países del este y algunos latinos, nos comparamos con sistemas de relaciones laborales de amplia tradición y fuerte consolidación.</w:t>
      </w:r>
    </w:p>
    <w:p w:rsidR="006010D0" w:rsidRPr="006010D0" w:rsidRDefault="006010D0" w:rsidP="006010D0">
      <w:pPr>
        <w:pStyle w:val="Prrafodelista"/>
        <w:keepNext/>
        <w:keepLines/>
        <w:spacing w:line="240" w:lineRule="auto"/>
        <w:ind w:left="0"/>
        <w:jc w:val="both"/>
        <w:rPr>
          <w:rFonts w:ascii="Verdana" w:hAnsi="Verdana"/>
          <w:i/>
        </w:rPr>
      </w:pPr>
      <w:r w:rsidRPr="006010D0">
        <w:rPr>
          <w:rFonts w:ascii="Verdana" w:hAnsi="Verdana"/>
          <w:i/>
        </w:rPr>
        <w:t>C. Las respuestas de los trabajadores en España (ECVT):</w:t>
      </w:r>
    </w:p>
    <w:p w:rsidR="006010D0" w:rsidRPr="006010D0" w:rsidRDefault="006010D0" w:rsidP="006010D0">
      <w:pPr>
        <w:pStyle w:val="Prrafodelista"/>
        <w:keepNext/>
        <w:keepLines/>
        <w:numPr>
          <w:ilvl w:val="0"/>
          <w:numId w:val="19"/>
        </w:numPr>
        <w:tabs>
          <w:tab w:val="left" w:pos="1140"/>
        </w:tabs>
        <w:spacing w:line="240" w:lineRule="auto"/>
        <w:jc w:val="both"/>
        <w:rPr>
          <w:rFonts w:ascii="Verdana" w:hAnsi="Verdana"/>
        </w:rPr>
      </w:pPr>
      <w:r w:rsidRPr="006010D0">
        <w:rPr>
          <w:rFonts w:ascii="Verdana" w:hAnsi="Verdana"/>
        </w:rPr>
        <w:t xml:space="preserve">El porcentaje total de trabajadores que afirman que existe una estructura que facilita la negociación colectiva en su empresa ha descendido entre los años </w:t>
      </w:r>
      <w:smartTag w:uri="urn:schemas-microsoft-com:office:smarttags" w:element="metricconverter">
        <w:smartTagPr>
          <w:attr w:name="ProductID" w:val="2003 a"/>
        </w:smartTagPr>
        <w:r w:rsidRPr="006010D0">
          <w:rPr>
            <w:rFonts w:ascii="Verdana" w:hAnsi="Verdana"/>
          </w:rPr>
          <w:t>2003 a</w:t>
        </w:r>
      </w:smartTag>
      <w:r w:rsidRPr="006010D0">
        <w:rPr>
          <w:rFonts w:ascii="Verdana" w:hAnsi="Verdana"/>
        </w:rPr>
        <w:t xml:space="preserve"> 2010, desde el 54,9% hasta el 47,4%; el descenso más acusado se produce entre 2003 y 2007, para moderarse en </w:t>
      </w:r>
      <w:smartTag w:uri="urn:schemas-microsoft-com:office:smarttags" w:element="metricconverter">
        <w:smartTagPr>
          <w:attr w:name="ProductID" w:val="2010. A"/>
        </w:smartTagPr>
        <w:r w:rsidRPr="006010D0">
          <w:rPr>
            <w:rFonts w:ascii="Verdana" w:hAnsi="Verdana"/>
          </w:rPr>
          <w:t>2010. A</w:t>
        </w:r>
      </w:smartTag>
      <w:r w:rsidRPr="006010D0">
        <w:rPr>
          <w:rFonts w:ascii="Verdana" w:hAnsi="Verdana"/>
        </w:rPr>
        <w:t xml:space="preserve"> mayor tamaño de la empresa, más percepción de dicha presencia.</w:t>
      </w:r>
    </w:p>
    <w:p w:rsidR="006010D0" w:rsidRPr="006010D0" w:rsidRDefault="006010D0" w:rsidP="006010D0">
      <w:pPr>
        <w:pStyle w:val="Prrafodelista"/>
        <w:numPr>
          <w:ilvl w:val="0"/>
          <w:numId w:val="19"/>
        </w:numPr>
        <w:tabs>
          <w:tab w:val="left" w:pos="1140"/>
        </w:tabs>
        <w:spacing w:line="240" w:lineRule="auto"/>
        <w:jc w:val="both"/>
        <w:rPr>
          <w:rFonts w:ascii="Verdana" w:hAnsi="Verdana"/>
        </w:rPr>
      </w:pPr>
      <w:r w:rsidRPr="006010D0">
        <w:rPr>
          <w:rFonts w:ascii="Verdana" w:hAnsi="Verdana"/>
        </w:rPr>
        <w:t>La mayoría de individuos entrevistados que responden estar afiliados al sindicato (55,9% en 2010) confirman la existencia de una estructura de representación de intereses y de negociación a nivel de empresa. Existe un mecanismo de reforzamiento mutuo entre estas dos variables, de forma que la existencia de una favorece la otra. También aquí, no obstante, hay la misma relación entre alta percepción y mayor tamaño de empresa.</w:t>
      </w:r>
    </w:p>
    <w:p w:rsidR="006010D0" w:rsidRPr="006010D0" w:rsidRDefault="006010D0" w:rsidP="006010D0">
      <w:pPr>
        <w:pStyle w:val="Prrafodelista"/>
        <w:numPr>
          <w:ilvl w:val="0"/>
          <w:numId w:val="19"/>
        </w:numPr>
        <w:tabs>
          <w:tab w:val="left" w:pos="1140"/>
        </w:tabs>
        <w:spacing w:line="240" w:lineRule="auto"/>
        <w:jc w:val="both"/>
        <w:rPr>
          <w:rFonts w:ascii="Verdana" w:hAnsi="Verdana"/>
        </w:rPr>
      </w:pPr>
      <w:r w:rsidRPr="006010D0">
        <w:rPr>
          <w:rFonts w:ascii="Verdana" w:hAnsi="Verdana"/>
        </w:rPr>
        <w:t xml:space="preserve">Con datos ECVT 2010, los sectores donde existe un mayor porcentaje de trabajadores en empresas con estructuras de representación sindical son los de administraciones públicas, los servicios financieros y las actividades sanitarias, veterinarias y servicios sociales, con mayor tamaño medio de las empresas. Por el contrario, los trabajadores de transportes y comunicaciones, servicios personales, sector agrario, construcción y muy en particular empleo doméstico son los que menos disponen de estructuras de representación sindical. </w:t>
      </w:r>
    </w:p>
    <w:p w:rsidR="006010D0" w:rsidRPr="006010D0" w:rsidRDefault="006010D0" w:rsidP="006010D0">
      <w:pPr>
        <w:pStyle w:val="Prrafodelista"/>
        <w:numPr>
          <w:ilvl w:val="0"/>
          <w:numId w:val="19"/>
        </w:numPr>
        <w:spacing w:line="240" w:lineRule="auto"/>
        <w:jc w:val="both"/>
        <w:rPr>
          <w:rFonts w:ascii="Verdana" w:hAnsi="Verdana"/>
        </w:rPr>
      </w:pPr>
      <w:r w:rsidRPr="006010D0">
        <w:rPr>
          <w:rFonts w:ascii="Verdana" w:hAnsi="Verdana"/>
        </w:rPr>
        <w:t>Los mayores porcentajes de empresas con estructuras de representación se registran en el centro y norte peninsular, Madrid y la Rioja. Los niveles más bajos se registran en CCAA del sur. Las regiones que han sufrido un mayor descenso en el periodo 2003-2010 han sido Aragón, Madrid, Islas Baleares y Castilla León; y se han registrado aumentos en País Vasco, Canarias y Andalucía.</w:t>
      </w:r>
    </w:p>
    <w:p w:rsidR="006010D0" w:rsidRPr="006010D0" w:rsidRDefault="006010D0" w:rsidP="006010D0">
      <w:pPr>
        <w:pStyle w:val="Prrafodelista"/>
        <w:numPr>
          <w:ilvl w:val="0"/>
          <w:numId w:val="19"/>
        </w:numPr>
        <w:tabs>
          <w:tab w:val="left" w:pos="1140"/>
        </w:tabs>
        <w:spacing w:line="240" w:lineRule="auto"/>
        <w:jc w:val="both"/>
        <w:rPr>
          <w:rFonts w:ascii="Verdana" w:hAnsi="Verdana"/>
        </w:rPr>
      </w:pPr>
      <w:r w:rsidRPr="006010D0">
        <w:rPr>
          <w:rFonts w:ascii="Verdana" w:hAnsi="Verdana"/>
        </w:rPr>
        <w:t>El porcentaje de asalariados que responde afirmativamente acerca de la existencia de un convenio colectivo que regula sus condiciones laborales se sitúa en torno al 40% en 2003, descendiendo hasta el 33,5% en 2007. Aumenta en 2010 para situarse de nuevo en niveles similares a los del inicio. El conocimiento de la cobertura de los convenios colectivos es significativamente mayor entre los asalariados de empresas grandes, pero aún y así está muy alejado de los niveles reales de cobertura de la negociación colectiva.</w:t>
      </w:r>
    </w:p>
    <w:p w:rsidR="006010D0" w:rsidRPr="006010D0" w:rsidRDefault="006010D0" w:rsidP="006010D0">
      <w:pPr>
        <w:pStyle w:val="Prrafodelista"/>
        <w:numPr>
          <w:ilvl w:val="0"/>
          <w:numId w:val="19"/>
        </w:numPr>
        <w:tabs>
          <w:tab w:val="left" w:pos="1140"/>
        </w:tabs>
        <w:spacing w:line="240" w:lineRule="auto"/>
        <w:jc w:val="both"/>
        <w:rPr>
          <w:rFonts w:ascii="Verdana" w:hAnsi="Verdana"/>
        </w:rPr>
      </w:pPr>
      <w:r w:rsidRPr="006010D0">
        <w:rPr>
          <w:rFonts w:ascii="Verdana" w:hAnsi="Verdana"/>
        </w:rPr>
        <w:t xml:space="preserve">Siguiendo con los resultados de la ECVT destaca el alto porcentaje de trabajadores que declara tener poco o nulo conocimiento de la representación sindical: 44,7% en 2007 y 53,4% en 2010. </w:t>
      </w:r>
    </w:p>
    <w:p w:rsidR="006010D0" w:rsidRPr="006010D0" w:rsidRDefault="006010D0" w:rsidP="006010D0">
      <w:pPr>
        <w:pStyle w:val="Prrafodelista"/>
        <w:numPr>
          <w:ilvl w:val="0"/>
          <w:numId w:val="19"/>
        </w:numPr>
        <w:tabs>
          <w:tab w:val="left" w:pos="1140"/>
        </w:tabs>
        <w:spacing w:line="240" w:lineRule="auto"/>
        <w:jc w:val="both"/>
        <w:rPr>
          <w:rFonts w:ascii="Verdana" w:hAnsi="Verdana"/>
        </w:rPr>
      </w:pPr>
      <w:r w:rsidRPr="006010D0">
        <w:rPr>
          <w:rFonts w:ascii="Verdana" w:hAnsi="Verdana"/>
        </w:rPr>
        <w:t xml:space="preserve">El nivel de satisfacción con la representación sindical aumenta con el tamaño de empresa. La edad o el sexo no introducen variaciones </w:t>
      </w:r>
      <w:r w:rsidRPr="006010D0">
        <w:rPr>
          <w:rFonts w:ascii="Verdana" w:hAnsi="Verdana"/>
        </w:rPr>
        <w:lastRenderedPageBreak/>
        <w:t>significativas, pero sí el nivel de estudios (más satisfacción en estudios medios), la antigüedad en la empresa (a mayor antigüedad, más satisfacción). Los asalariados con contrato fijo declaran también mayor satisfacción que los temporales (más insatisfechos). Asimismo, se confirma la tendencia ya comentada sobre la asociación entre afiliación y representación sindical: los afiliados se muestran más satisfechos y los no afiliados más insatisfechos.</w:t>
      </w:r>
    </w:p>
    <w:p w:rsidR="006010D0" w:rsidRPr="006010D0" w:rsidRDefault="006010D0" w:rsidP="006010D0">
      <w:pPr>
        <w:pStyle w:val="Prrafodelista"/>
        <w:numPr>
          <w:ilvl w:val="0"/>
          <w:numId w:val="19"/>
        </w:numPr>
        <w:tabs>
          <w:tab w:val="left" w:pos="1140"/>
        </w:tabs>
        <w:spacing w:line="240" w:lineRule="auto"/>
        <w:jc w:val="both"/>
        <w:rPr>
          <w:rFonts w:ascii="Verdana" w:hAnsi="Verdana"/>
        </w:rPr>
      </w:pPr>
      <w:r w:rsidRPr="006010D0">
        <w:rPr>
          <w:rFonts w:ascii="Verdana" w:hAnsi="Verdana"/>
        </w:rPr>
        <w:t>Entre 2007 y 2010, recuérdese que es por tanto en el interior de una situación de crisis, ha habido un aumento relativo de la satisfacción media respecto de la representación sindical; aunque como hemos dicho también aumenta el desconocimiento sobre la misma. Y esto se confirma porque disminuyen las diferencias en la valoración de los asalariados con bajo nivel de estudios (más insatisfechos), respecto de los que han alcanzado niveles medios (más satisfechos), acercándose los primeros a los segundos. Del mismo modo sucede con la antigüedad en la empresa y el tipo de contrato. En cambio la brecha en torno a la satisfacción con la representación sindical se profundiza entre ambas fechas al considerar las diferencias entre afiliados y no afiliados.</w:t>
      </w:r>
    </w:p>
    <w:p w:rsidR="006010D0" w:rsidRDefault="006010D0" w:rsidP="006010D0">
      <w:pPr>
        <w:pStyle w:val="Prrafodelista"/>
        <w:numPr>
          <w:ilvl w:val="0"/>
          <w:numId w:val="19"/>
        </w:numPr>
        <w:spacing w:line="240" w:lineRule="auto"/>
        <w:jc w:val="both"/>
        <w:rPr>
          <w:rFonts w:ascii="Verdana" w:hAnsi="Verdana" w:cs="Calibri"/>
        </w:rPr>
      </w:pPr>
      <w:r w:rsidRPr="006010D0">
        <w:rPr>
          <w:rFonts w:ascii="Verdana" w:hAnsi="Verdana"/>
        </w:rPr>
        <w:t>E</w:t>
      </w:r>
      <w:r w:rsidRPr="006010D0">
        <w:rPr>
          <w:rFonts w:ascii="Verdana" w:hAnsi="Verdana" w:cs="Calibri"/>
        </w:rPr>
        <w:t xml:space="preserve">n definitiva, de la ECVT se desprende que la presencia de órganos de representación en términos globales en las empresas se ha reducido, si bien pueda deberse a un efecto composición. Las diferencias en cuanto a presencia o no de órganos de representación se explica en gran medida, como era de esperar, por la plantilla de la empresa. Posiblemente las diferencias entre CCAA y entre sectores de actividad respondan a la mayor o menor presencia de pequeñas empresas en cada uno de dichos ámbitos. Algo parecido sucede con la existencia en la empresa de convenio colectivo regulador de las condiciones de trabajo. Cabe decir que son muchos los trabajadores que desconocen la actividad sindical en su empresa, posiblemente en la mayoría de casos por su inexistencia en las pequeñas empresas. Se da una relación directa entre desconocimiento o poco conocimiento de la actividad sindical y valoración negativa, por una parte, y por otra, más conocimiento y mejor valoración. Puede decirse, que el conocimiento de la actividad sindical abre vías a mejorar el nivel de satisfacción, y esta última a un mayor compromiso sindical. </w:t>
      </w:r>
    </w:p>
    <w:p w:rsidR="00C3138A" w:rsidRDefault="00C3138A" w:rsidP="00C3138A">
      <w:pPr>
        <w:spacing w:line="240" w:lineRule="auto"/>
        <w:jc w:val="both"/>
        <w:rPr>
          <w:rFonts w:ascii="Verdana" w:hAnsi="Verdana" w:cs="Calibri"/>
        </w:rPr>
      </w:pPr>
    </w:p>
    <w:p w:rsidR="00C3138A" w:rsidRDefault="00C3138A" w:rsidP="00C3138A">
      <w:pPr>
        <w:spacing w:line="240" w:lineRule="auto"/>
        <w:jc w:val="both"/>
        <w:rPr>
          <w:rFonts w:ascii="Verdana" w:hAnsi="Verdana" w:cs="Calibri"/>
        </w:rPr>
      </w:pPr>
      <w:r>
        <w:rPr>
          <w:rFonts w:ascii="Verdana" w:hAnsi="Verdana" w:cs="Calibri"/>
          <w:b/>
        </w:rPr>
        <w:t>V.- REFERENCIAS BIBLIOGRÁFICAS</w:t>
      </w:r>
    </w:p>
    <w:p w:rsidR="00691818" w:rsidRPr="00691818" w:rsidRDefault="00691818" w:rsidP="00691818">
      <w:pPr>
        <w:jc w:val="both"/>
        <w:rPr>
          <w:rFonts w:ascii="Verdana" w:hAnsi="Verdana"/>
        </w:rPr>
      </w:pPr>
      <w:r w:rsidRPr="00691818">
        <w:rPr>
          <w:rFonts w:ascii="Verdana" w:hAnsi="Verdana"/>
          <w:lang w:val="es-ES_tradnl"/>
        </w:rPr>
        <w:t>A</w:t>
      </w:r>
      <w:proofErr w:type="spellStart"/>
      <w:r w:rsidRPr="00691818">
        <w:rPr>
          <w:rFonts w:ascii="Verdana" w:hAnsi="Verdana"/>
          <w:color w:val="000000"/>
        </w:rPr>
        <w:t>lós</w:t>
      </w:r>
      <w:proofErr w:type="spellEnd"/>
      <w:r w:rsidRPr="00691818">
        <w:rPr>
          <w:rFonts w:ascii="Verdana" w:hAnsi="Verdana"/>
          <w:color w:val="000000"/>
        </w:rPr>
        <w:t xml:space="preserve">, R.; </w:t>
      </w:r>
      <w:proofErr w:type="spellStart"/>
      <w:r w:rsidRPr="00691818">
        <w:rPr>
          <w:rFonts w:ascii="Verdana" w:hAnsi="Verdana"/>
          <w:color w:val="000000"/>
        </w:rPr>
        <w:t>Jódar</w:t>
      </w:r>
      <w:proofErr w:type="spellEnd"/>
      <w:r w:rsidRPr="00691818">
        <w:rPr>
          <w:rFonts w:ascii="Verdana" w:hAnsi="Verdana"/>
          <w:color w:val="000000"/>
        </w:rPr>
        <w:t xml:space="preserve">, P.; Martí, J.; Martín, A.; </w:t>
      </w:r>
      <w:proofErr w:type="spellStart"/>
      <w:r w:rsidRPr="00691818">
        <w:rPr>
          <w:rFonts w:ascii="Verdana" w:hAnsi="Verdana"/>
          <w:color w:val="000000"/>
        </w:rPr>
        <w:t>Miguélez</w:t>
      </w:r>
      <w:proofErr w:type="spellEnd"/>
      <w:r w:rsidRPr="00691818">
        <w:rPr>
          <w:rFonts w:ascii="Verdana" w:hAnsi="Verdana"/>
          <w:color w:val="000000"/>
        </w:rPr>
        <w:t xml:space="preserve">, F.; Rebollo, </w:t>
      </w:r>
      <w:proofErr w:type="spellStart"/>
      <w:r w:rsidRPr="00691818">
        <w:rPr>
          <w:rFonts w:ascii="Verdana" w:hAnsi="Verdana"/>
          <w:color w:val="000000"/>
        </w:rPr>
        <w:t>Ó</w:t>
      </w:r>
      <w:proofErr w:type="spellEnd"/>
      <w:r w:rsidRPr="00691818">
        <w:rPr>
          <w:rFonts w:ascii="Verdana" w:hAnsi="Verdana"/>
          <w:color w:val="000000"/>
        </w:rPr>
        <w:t xml:space="preserve">. (2000): </w:t>
      </w:r>
      <w:r w:rsidRPr="00691818">
        <w:rPr>
          <w:rFonts w:ascii="Verdana" w:hAnsi="Verdana"/>
          <w:i/>
          <w:color w:val="000000"/>
        </w:rPr>
        <w:t>La transformación del sindicato. Estudio de la afiliación de CCOO de Cataluña</w:t>
      </w:r>
      <w:r w:rsidRPr="00691818">
        <w:rPr>
          <w:rFonts w:ascii="Verdana" w:hAnsi="Verdana"/>
          <w:color w:val="000000"/>
        </w:rPr>
        <w:t>. Barcelona: Viena/</w:t>
      </w:r>
      <w:proofErr w:type="spellStart"/>
      <w:r w:rsidRPr="00691818">
        <w:rPr>
          <w:rFonts w:ascii="Verdana" w:hAnsi="Verdana"/>
          <w:color w:val="000000"/>
        </w:rPr>
        <w:t>Conc</w:t>
      </w:r>
      <w:proofErr w:type="spellEnd"/>
      <w:r w:rsidRPr="00691818">
        <w:rPr>
          <w:rFonts w:ascii="Verdana" w:hAnsi="Verdana"/>
          <w:color w:val="000000"/>
        </w:rPr>
        <w:t>.</w:t>
      </w:r>
      <w:bookmarkStart w:id="3" w:name="_GoBack"/>
      <w:bookmarkEnd w:id="3"/>
    </w:p>
    <w:p w:rsidR="00691818" w:rsidRPr="00691818" w:rsidRDefault="00691818" w:rsidP="00691818">
      <w:pPr>
        <w:spacing w:line="23" w:lineRule="atLeast"/>
        <w:jc w:val="both"/>
        <w:rPr>
          <w:rFonts w:ascii="Verdana" w:eastAsia="Times New Roman" w:hAnsi="Verdana"/>
          <w:lang w:eastAsia="ca-ES"/>
        </w:rPr>
      </w:pPr>
      <w:proofErr w:type="spellStart"/>
      <w:r w:rsidRPr="00691818">
        <w:rPr>
          <w:rFonts w:ascii="Verdana" w:eastAsia="Times New Roman" w:hAnsi="Verdana"/>
          <w:lang w:eastAsia="ca-ES"/>
        </w:rPr>
        <w:t>Alós</w:t>
      </w:r>
      <w:proofErr w:type="spellEnd"/>
      <w:r w:rsidRPr="00691818">
        <w:rPr>
          <w:rFonts w:ascii="Verdana" w:eastAsia="Times New Roman" w:hAnsi="Verdana"/>
          <w:lang w:eastAsia="ca-ES"/>
        </w:rPr>
        <w:t xml:space="preserve">, R.; </w:t>
      </w:r>
      <w:proofErr w:type="spellStart"/>
      <w:r w:rsidRPr="00691818">
        <w:rPr>
          <w:rFonts w:ascii="Verdana" w:eastAsia="Times New Roman" w:hAnsi="Verdana"/>
          <w:lang w:eastAsia="ca-ES"/>
        </w:rPr>
        <w:t>Beneyto</w:t>
      </w:r>
      <w:proofErr w:type="spellEnd"/>
      <w:r w:rsidRPr="00691818">
        <w:rPr>
          <w:rFonts w:ascii="Verdana" w:eastAsia="Times New Roman" w:hAnsi="Verdana"/>
          <w:lang w:eastAsia="ca-ES"/>
        </w:rPr>
        <w:t xml:space="preserve">, P.; </w:t>
      </w:r>
      <w:proofErr w:type="spellStart"/>
      <w:r w:rsidRPr="00691818">
        <w:rPr>
          <w:rFonts w:ascii="Verdana" w:eastAsia="Times New Roman" w:hAnsi="Verdana"/>
          <w:lang w:eastAsia="ca-ES"/>
        </w:rPr>
        <w:t>Jódar</w:t>
      </w:r>
      <w:proofErr w:type="spellEnd"/>
      <w:r w:rsidRPr="00691818">
        <w:rPr>
          <w:rFonts w:ascii="Verdana" w:eastAsia="Times New Roman" w:hAnsi="Verdana"/>
          <w:lang w:eastAsia="ca-ES"/>
        </w:rPr>
        <w:t xml:space="preserve">, P.; Vidal, S. (2011): </w:t>
      </w:r>
      <w:r w:rsidRPr="00691818">
        <w:rPr>
          <w:rFonts w:ascii="Verdana" w:eastAsia="Times New Roman" w:hAnsi="Verdana"/>
          <w:i/>
          <w:lang w:eastAsia="ca-ES"/>
        </w:rPr>
        <w:t>La dinámica de la afiliación sindical. El caso de Comisiones Obreras.</w:t>
      </w:r>
      <w:r w:rsidRPr="00691818">
        <w:rPr>
          <w:rFonts w:ascii="Verdana" w:eastAsia="Times New Roman" w:hAnsi="Verdana"/>
          <w:lang w:eastAsia="ca-ES"/>
        </w:rPr>
        <w:t xml:space="preserve"> Madrid: Fundación 1º de Mayo.</w:t>
      </w:r>
    </w:p>
    <w:p w:rsidR="00691818" w:rsidRPr="00691818" w:rsidRDefault="00691818" w:rsidP="00691818">
      <w:pPr>
        <w:spacing w:line="23" w:lineRule="atLeast"/>
        <w:jc w:val="both"/>
        <w:rPr>
          <w:rFonts w:ascii="Verdana" w:hAnsi="Verdana"/>
          <w:lang w:val="en-US"/>
        </w:rPr>
      </w:pPr>
      <w:r w:rsidRPr="00691818">
        <w:rPr>
          <w:rFonts w:ascii="Verdana" w:hAnsi="Verdana"/>
        </w:rPr>
        <w:t xml:space="preserve"> </w:t>
      </w:r>
      <w:proofErr w:type="spellStart"/>
      <w:r w:rsidRPr="00691818">
        <w:rPr>
          <w:rFonts w:ascii="Verdana" w:hAnsi="Verdana"/>
        </w:rPr>
        <w:t>Alós</w:t>
      </w:r>
      <w:proofErr w:type="spellEnd"/>
      <w:r w:rsidRPr="00691818">
        <w:rPr>
          <w:rFonts w:ascii="Verdana" w:hAnsi="Verdana"/>
        </w:rPr>
        <w:t xml:space="preserve">, R.; </w:t>
      </w:r>
      <w:proofErr w:type="spellStart"/>
      <w:r w:rsidRPr="00691818">
        <w:rPr>
          <w:rFonts w:ascii="Verdana" w:hAnsi="Verdana"/>
        </w:rPr>
        <w:t>Beneyto</w:t>
      </w:r>
      <w:proofErr w:type="spellEnd"/>
      <w:r w:rsidRPr="00691818">
        <w:rPr>
          <w:rFonts w:ascii="Verdana" w:hAnsi="Verdana"/>
        </w:rPr>
        <w:t xml:space="preserve">, P.; </w:t>
      </w:r>
      <w:proofErr w:type="spellStart"/>
      <w:r w:rsidRPr="00691818">
        <w:rPr>
          <w:rFonts w:ascii="Verdana" w:hAnsi="Verdana"/>
        </w:rPr>
        <w:t>Jódar</w:t>
      </w:r>
      <w:proofErr w:type="spellEnd"/>
      <w:r w:rsidRPr="00691818">
        <w:rPr>
          <w:rFonts w:ascii="Verdana" w:hAnsi="Verdana"/>
        </w:rPr>
        <w:t xml:space="preserve">, P.; Vidal, S. (2013): La dinámica </w:t>
      </w:r>
      <w:proofErr w:type="spellStart"/>
      <w:r w:rsidRPr="00691818">
        <w:rPr>
          <w:rFonts w:ascii="Verdana" w:hAnsi="Verdana"/>
        </w:rPr>
        <w:t>afiliativa</w:t>
      </w:r>
      <w:proofErr w:type="spellEnd"/>
      <w:r w:rsidRPr="00691818">
        <w:rPr>
          <w:rFonts w:ascii="Verdana" w:hAnsi="Verdana"/>
        </w:rPr>
        <w:t xml:space="preserve"> sindical y las trayectorias de sus miembros. </w:t>
      </w:r>
      <w:proofErr w:type="spellStart"/>
      <w:r w:rsidRPr="00691818">
        <w:rPr>
          <w:rFonts w:ascii="Verdana" w:hAnsi="Verdana"/>
          <w:lang w:val="en-US"/>
        </w:rPr>
        <w:t>En</w:t>
      </w:r>
      <w:proofErr w:type="spellEnd"/>
      <w:r w:rsidRPr="00691818">
        <w:rPr>
          <w:rFonts w:ascii="Verdana" w:hAnsi="Verdana"/>
          <w:lang w:val="en-US"/>
        </w:rPr>
        <w:t xml:space="preserve"> </w:t>
      </w:r>
      <w:proofErr w:type="spellStart"/>
      <w:r w:rsidRPr="00691818">
        <w:rPr>
          <w:rFonts w:ascii="Verdana" w:hAnsi="Verdana"/>
          <w:i/>
          <w:iCs/>
          <w:lang w:val="en-US"/>
        </w:rPr>
        <w:t>Política</w:t>
      </w:r>
      <w:proofErr w:type="spellEnd"/>
      <w:r w:rsidRPr="00691818">
        <w:rPr>
          <w:rFonts w:ascii="Verdana" w:hAnsi="Verdana"/>
          <w:i/>
          <w:iCs/>
          <w:lang w:val="en-US"/>
        </w:rPr>
        <w:t xml:space="preserve"> y </w:t>
      </w:r>
      <w:proofErr w:type="spellStart"/>
      <w:r w:rsidRPr="00691818">
        <w:rPr>
          <w:rFonts w:ascii="Verdana" w:hAnsi="Verdana"/>
          <w:i/>
          <w:iCs/>
          <w:lang w:val="en-US"/>
        </w:rPr>
        <w:t>Sociedad</w:t>
      </w:r>
      <w:proofErr w:type="spellEnd"/>
      <w:r w:rsidRPr="00691818">
        <w:rPr>
          <w:rFonts w:ascii="Verdana" w:hAnsi="Verdana"/>
          <w:lang w:val="en-US"/>
        </w:rPr>
        <w:t xml:space="preserve">, vol. 50, </w:t>
      </w:r>
      <w:proofErr w:type="spellStart"/>
      <w:r w:rsidRPr="00691818">
        <w:rPr>
          <w:rFonts w:ascii="Verdana" w:hAnsi="Verdana"/>
          <w:lang w:val="en-US"/>
        </w:rPr>
        <w:t>núm</w:t>
      </w:r>
      <w:proofErr w:type="spellEnd"/>
      <w:r w:rsidRPr="00691818">
        <w:rPr>
          <w:rFonts w:ascii="Verdana" w:hAnsi="Verdana"/>
          <w:lang w:val="en-US"/>
        </w:rPr>
        <w:t>. 3, pp. 1065-1096.</w:t>
      </w:r>
    </w:p>
    <w:p w:rsidR="00691818" w:rsidRPr="00691818" w:rsidRDefault="00691818" w:rsidP="00691818">
      <w:pPr>
        <w:spacing w:line="23" w:lineRule="atLeast"/>
        <w:jc w:val="both"/>
        <w:rPr>
          <w:rFonts w:ascii="Verdana" w:hAnsi="Verdana" w:cstheme="minorHAnsi"/>
          <w:lang w:val="en-GB"/>
        </w:rPr>
      </w:pPr>
      <w:proofErr w:type="spellStart"/>
      <w:r w:rsidRPr="00691818">
        <w:rPr>
          <w:rFonts w:ascii="Verdana" w:hAnsi="Verdana" w:cstheme="minorHAnsi"/>
          <w:iCs/>
          <w:lang w:val="en-US"/>
        </w:rPr>
        <w:lastRenderedPageBreak/>
        <w:t>Antcliff</w:t>
      </w:r>
      <w:proofErr w:type="spellEnd"/>
      <w:r w:rsidRPr="00691818">
        <w:rPr>
          <w:rFonts w:ascii="Verdana" w:hAnsi="Verdana" w:cstheme="minorHAnsi"/>
          <w:iCs/>
          <w:lang w:val="en-US"/>
        </w:rPr>
        <w:t xml:space="preserve">, V.; </w:t>
      </w:r>
      <w:proofErr w:type="spellStart"/>
      <w:r w:rsidRPr="00691818">
        <w:rPr>
          <w:rFonts w:ascii="Verdana" w:hAnsi="Verdana" w:cstheme="minorHAnsi"/>
          <w:iCs/>
          <w:lang w:val="en-US"/>
        </w:rPr>
        <w:t>Saundry</w:t>
      </w:r>
      <w:proofErr w:type="spellEnd"/>
      <w:r w:rsidRPr="00691818">
        <w:rPr>
          <w:rFonts w:ascii="Verdana" w:hAnsi="Verdana" w:cstheme="minorHAnsi"/>
          <w:iCs/>
          <w:lang w:val="en-US"/>
        </w:rPr>
        <w:t>, R. (2009): “</w:t>
      </w:r>
      <w:r w:rsidRPr="00691818">
        <w:rPr>
          <w:rFonts w:ascii="Verdana" w:hAnsi="Verdana" w:cstheme="minorHAnsi"/>
          <w:lang w:val="en-GB"/>
        </w:rPr>
        <w:t>Accompaniment, Workplace Representation and Disciplinary Outcomes in British Workplaces. Just a Formality?</w:t>
      </w:r>
      <w:proofErr w:type="gramStart"/>
      <w:r w:rsidRPr="00691818">
        <w:rPr>
          <w:rFonts w:ascii="Verdana" w:hAnsi="Verdana" w:cstheme="minorHAnsi"/>
          <w:lang w:val="en-GB"/>
        </w:rPr>
        <w:t>”.</w:t>
      </w:r>
      <w:proofErr w:type="gramEnd"/>
      <w:r w:rsidRPr="00691818">
        <w:rPr>
          <w:rFonts w:ascii="Verdana" w:hAnsi="Verdana" w:cstheme="minorHAnsi"/>
          <w:lang w:val="en-GB"/>
        </w:rPr>
        <w:t xml:space="preserve"> </w:t>
      </w:r>
      <w:proofErr w:type="spellStart"/>
      <w:r w:rsidRPr="00691818">
        <w:rPr>
          <w:rFonts w:ascii="Verdana" w:hAnsi="Verdana" w:cstheme="minorHAnsi"/>
          <w:lang w:val="en-GB"/>
        </w:rPr>
        <w:t>En</w:t>
      </w:r>
      <w:proofErr w:type="spellEnd"/>
      <w:r w:rsidRPr="00691818">
        <w:rPr>
          <w:rFonts w:ascii="Verdana" w:hAnsi="Verdana" w:cstheme="minorHAnsi"/>
          <w:lang w:val="en-GB"/>
        </w:rPr>
        <w:t xml:space="preserve"> </w:t>
      </w:r>
      <w:r w:rsidRPr="00691818">
        <w:rPr>
          <w:rFonts w:ascii="Verdana" w:hAnsi="Verdana" w:cstheme="minorHAnsi"/>
          <w:i/>
          <w:iCs/>
          <w:lang w:val="en-GB"/>
        </w:rPr>
        <w:t>British Journal of Industrial Relations,</w:t>
      </w:r>
      <w:r w:rsidRPr="00691818">
        <w:rPr>
          <w:rFonts w:ascii="Verdana" w:hAnsi="Verdana" w:cstheme="minorHAnsi"/>
          <w:iCs/>
          <w:lang w:val="en-GB"/>
        </w:rPr>
        <w:t xml:space="preserve"> vol. </w:t>
      </w:r>
      <w:r w:rsidRPr="00691818">
        <w:rPr>
          <w:rFonts w:ascii="Verdana" w:hAnsi="Verdana" w:cstheme="minorHAnsi"/>
          <w:lang w:val="en-GB"/>
        </w:rPr>
        <w:t xml:space="preserve">47, </w:t>
      </w:r>
      <w:proofErr w:type="spellStart"/>
      <w:r w:rsidRPr="00691818">
        <w:rPr>
          <w:rFonts w:ascii="Verdana" w:hAnsi="Verdana" w:cstheme="minorHAnsi"/>
          <w:lang w:val="en-GB"/>
        </w:rPr>
        <w:t>núm</w:t>
      </w:r>
      <w:proofErr w:type="spellEnd"/>
      <w:r w:rsidRPr="00691818">
        <w:rPr>
          <w:rFonts w:ascii="Verdana" w:hAnsi="Verdana" w:cstheme="minorHAnsi"/>
          <w:lang w:val="en-GB"/>
        </w:rPr>
        <w:t>. 1, pp. 100–121.</w:t>
      </w:r>
    </w:p>
    <w:p w:rsidR="00691818" w:rsidRPr="00691818" w:rsidRDefault="00691818" w:rsidP="00691818">
      <w:pPr>
        <w:spacing w:line="23" w:lineRule="atLeast"/>
        <w:jc w:val="both"/>
        <w:rPr>
          <w:rFonts w:ascii="Verdana" w:eastAsia="Times New Roman" w:hAnsi="Verdana"/>
          <w:lang w:val="en-US" w:eastAsia="es-ES"/>
        </w:rPr>
      </w:pPr>
      <w:proofErr w:type="spellStart"/>
      <w:r w:rsidRPr="00691818">
        <w:rPr>
          <w:rFonts w:ascii="Verdana" w:eastAsia="Times New Roman" w:hAnsi="Verdana"/>
          <w:lang w:val="en-GB" w:eastAsia="es-ES"/>
        </w:rPr>
        <w:t>Artus</w:t>
      </w:r>
      <w:proofErr w:type="spellEnd"/>
      <w:r w:rsidRPr="00691818">
        <w:rPr>
          <w:rFonts w:ascii="Verdana" w:eastAsia="Times New Roman" w:hAnsi="Verdana"/>
          <w:lang w:val="en-GB" w:eastAsia="es-ES"/>
        </w:rPr>
        <w:t xml:space="preserve">, I. (2013): </w:t>
      </w:r>
      <w:hyperlink r:id="rId20" w:history="1">
        <w:r w:rsidRPr="00691818">
          <w:rPr>
            <w:rFonts w:ascii="Verdana" w:eastAsia="Times New Roman" w:hAnsi="Verdana" w:cs="Arial"/>
            <w:bCs/>
            <w:lang w:val="en-GB" w:eastAsia="es-ES"/>
          </w:rPr>
          <w:t xml:space="preserve">Precarious delegates: irregular forms of employee interest representation in Germany. </w:t>
        </w:r>
        <w:proofErr w:type="spellStart"/>
        <w:r w:rsidRPr="00691818">
          <w:rPr>
            <w:rFonts w:ascii="Verdana" w:eastAsia="Times New Roman" w:hAnsi="Verdana" w:cs="Arial"/>
            <w:bCs/>
            <w:lang w:val="en-US" w:eastAsia="es-ES"/>
          </w:rPr>
          <w:t>En</w:t>
        </w:r>
        <w:proofErr w:type="spellEnd"/>
        <w:r w:rsidRPr="00691818">
          <w:rPr>
            <w:rFonts w:ascii="Verdana" w:eastAsia="Times New Roman" w:hAnsi="Verdana" w:cs="Arial"/>
            <w:bCs/>
            <w:lang w:val="en-US" w:eastAsia="es-ES"/>
          </w:rPr>
          <w:t xml:space="preserve"> </w:t>
        </w:r>
        <w:r w:rsidRPr="00691818">
          <w:rPr>
            <w:rFonts w:ascii="Verdana" w:eastAsia="Times New Roman" w:hAnsi="Verdana" w:cs="Arial"/>
            <w:i/>
            <w:lang w:val="en-US" w:eastAsia="es-ES"/>
          </w:rPr>
          <w:t>Industrial Relations Journal,</w:t>
        </w:r>
        <w:r w:rsidRPr="00691818">
          <w:rPr>
            <w:rFonts w:ascii="Verdana" w:eastAsia="Times New Roman" w:hAnsi="Verdana" w:cs="Arial"/>
            <w:lang w:val="en-US" w:eastAsia="es-ES"/>
          </w:rPr>
          <w:t xml:space="preserve"> vol. 44, </w:t>
        </w:r>
        <w:proofErr w:type="spellStart"/>
        <w:r w:rsidRPr="00691818">
          <w:rPr>
            <w:rFonts w:ascii="Verdana" w:eastAsia="Times New Roman" w:hAnsi="Verdana" w:cs="Arial"/>
            <w:lang w:val="en-US" w:eastAsia="es-ES"/>
          </w:rPr>
          <w:t>núm</w:t>
        </w:r>
        <w:proofErr w:type="spellEnd"/>
        <w:r w:rsidRPr="00691818">
          <w:rPr>
            <w:rFonts w:ascii="Verdana" w:eastAsia="Times New Roman" w:hAnsi="Verdana" w:cs="Arial"/>
            <w:lang w:val="en-US" w:eastAsia="es-ES"/>
          </w:rPr>
          <w:t xml:space="preserve">. 4, </w:t>
        </w:r>
        <w:r w:rsidRPr="00691818">
          <w:rPr>
            <w:rFonts w:ascii="Verdana" w:eastAsia="Times New Roman" w:hAnsi="Verdana" w:cs="Arial"/>
            <w:bCs/>
            <w:lang w:val="en-US" w:eastAsia="es-ES"/>
          </w:rPr>
          <w:t>pp. 409–424.</w:t>
        </w:r>
      </w:hyperlink>
    </w:p>
    <w:p w:rsidR="00691818" w:rsidRPr="00691818" w:rsidRDefault="00691818" w:rsidP="00691818">
      <w:pPr>
        <w:spacing w:line="23" w:lineRule="atLeast"/>
        <w:jc w:val="both"/>
        <w:rPr>
          <w:rFonts w:ascii="Verdana" w:eastAsia="Times New Roman" w:hAnsi="Verdana"/>
          <w:lang w:eastAsia="es-ES"/>
        </w:rPr>
      </w:pPr>
      <w:r w:rsidRPr="00691818">
        <w:rPr>
          <w:rFonts w:ascii="Verdana" w:hAnsi="Verdana"/>
          <w:lang w:val="en-GB"/>
        </w:rPr>
        <w:t xml:space="preserve">Bain, G.S.; </w:t>
      </w:r>
      <w:proofErr w:type="spellStart"/>
      <w:r w:rsidRPr="00691818">
        <w:rPr>
          <w:rFonts w:ascii="Verdana" w:hAnsi="Verdana"/>
          <w:lang w:val="en-GB"/>
        </w:rPr>
        <w:t>Elsheikh</w:t>
      </w:r>
      <w:proofErr w:type="spellEnd"/>
      <w:r w:rsidRPr="00691818">
        <w:rPr>
          <w:rFonts w:ascii="Verdana" w:hAnsi="Verdana"/>
          <w:lang w:val="en-GB"/>
        </w:rPr>
        <w:t xml:space="preserve">, F. (1976): </w:t>
      </w:r>
      <w:r w:rsidRPr="00691818">
        <w:rPr>
          <w:rFonts w:ascii="Verdana" w:hAnsi="Verdana"/>
          <w:i/>
          <w:lang w:val="en-US"/>
        </w:rPr>
        <w:t xml:space="preserve">Union Growth and the Business Cycle. </w:t>
      </w:r>
      <w:proofErr w:type="spellStart"/>
      <w:r w:rsidRPr="00691818">
        <w:rPr>
          <w:rFonts w:ascii="Verdana" w:hAnsi="Verdana"/>
          <w:i/>
        </w:rPr>
        <w:t>An</w:t>
      </w:r>
      <w:proofErr w:type="spellEnd"/>
      <w:r w:rsidRPr="00691818">
        <w:rPr>
          <w:rFonts w:ascii="Verdana" w:hAnsi="Verdana"/>
          <w:i/>
        </w:rPr>
        <w:t xml:space="preserve"> </w:t>
      </w:r>
      <w:proofErr w:type="spellStart"/>
      <w:r w:rsidRPr="00691818">
        <w:rPr>
          <w:rFonts w:ascii="Verdana" w:hAnsi="Verdana"/>
          <w:i/>
        </w:rPr>
        <w:t>Econometric</w:t>
      </w:r>
      <w:proofErr w:type="spellEnd"/>
      <w:r w:rsidRPr="00691818">
        <w:rPr>
          <w:rFonts w:ascii="Verdana" w:hAnsi="Verdana"/>
          <w:i/>
        </w:rPr>
        <w:t xml:space="preserve"> </w:t>
      </w:r>
      <w:proofErr w:type="spellStart"/>
      <w:r w:rsidRPr="00691818">
        <w:rPr>
          <w:rFonts w:ascii="Verdana" w:hAnsi="Verdana"/>
          <w:i/>
        </w:rPr>
        <w:t>Analysis</w:t>
      </w:r>
      <w:proofErr w:type="spellEnd"/>
      <w:r w:rsidRPr="00691818">
        <w:rPr>
          <w:rFonts w:ascii="Verdana" w:hAnsi="Verdana"/>
        </w:rPr>
        <w:t xml:space="preserve">. Oxford: </w:t>
      </w:r>
      <w:proofErr w:type="spellStart"/>
      <w:r w:rsidRPr="00691818">
        <w:rPr>
          <w:rFonts w:ascii="Verdana" w:hAnsi="Verdana"/>
        </w:rPr>
        <w:t>Basil</w:t>
      </w:r>
      <w:proofErr w:type="spellEnd"/>
      <w:r w:rsidRPr="00691818">
        <w:rPr>
          <w:rFonts w:ascii="Verdana" w:hAnsi="Verdana"/>
        </w:rPr>
        <w:t xml:space="preserve"> </w:t>
      </w:r>
      <w:proofErr w:type="spellStart"/>
      <w:r w:rsidRPr="00691818">
        <w:rPr>
          <w:rFonts w:ascii="Verdana" w:hAnsi="Verdana"/>
        </w:rPr>
        <w:t>Blackwell</w:t>
      </w:r>
      <w:proofErr w:type="spellEnd"/>
      <w:r w:rsidRPr="00691818">
        <w:rPr>
          <w:rFonts w:ascii="Verdana" w:hAnsi="Verdana"/>
        </w:rPr>
        <w:t>.</w:t>
      </w:r>
    </w:p>
    <w:p w:rsidR="00691818" w:rsidRPr="00691818" w:rsidRDefault="00691818" w:rsidP="00691818">
      <w:pPr>
        <w:spacing w:line="23" w:lineRule="atLeast"/>
        <w:jc w:val="both"/>
        <w:rPr>
          <w:rFonts w:ascii="Verdana" w:hAnsi="Verdana"/>
        </w:rPr>
      </w:pPr>
      <w:proofErr w:type="spellStart"/>
      <w:r w:rsidRPr="00691818">
        <w:rPr>
          <w:rFonts w:ascii="Verdana" w:hAnsi="Verdana"/>
        </w:rPr>
        <w:t>Beneyto</w:t>
      </w:r>
      <w:proofErr w:type="spellEnd"/>
      <w:r w:rsidRPr="00691818">
        <w:rPr>
          <w:rFonts w:ascii="Verdana" w:hAnsi="Verdana"/>
        </w:rPr>
        <w:t xml:space="preserve">, P.J. (2008a): “Reflexiones sobre la afiliación sindical española en el contexto europeo”. En </w:t>
      </w:r>
      <w:r w:rsidRPr="00691818">
        <w:rPr>
          <w:rFonts w:ascii="Verdana" w:hAnsi="Verdana"/>
          <w:i/>
        </w:rPr>
        <w:t>Gaceta Sindical. Reflexión y debate</w:t>
      </w:r>
      <w:r w:rsidRPr="00691818">
        <w:rPr>
          <w:rFonts w:ascii="Verdana" w:hAnsi="Verdana"/>
        </w:rPr>
        <w:t>, núm. 11, pp. 287-310.</w:t>
      </w:r>
    </w:p>
    <w:p w:rsidR="00691818" w:rsidRPr="00691818" w:rsidRDefault="00691818" w:rsidP="00691818">
      <w:pPr>
        <w:spacing w:line="23" w:lineRule="atLeast"/>
        <w:jc w:val="both"/>
        <w:rPr>
          <w:rFonts w:ascii="Verdana" w:hAnsi="Verdana"/>
        </w:rPr>
      </w:pPr>
      <w:proofErr w:type="spellStart"/>
      <w:r w:rsidRPr="00691818">
        <w:rPr>
          <w:rFonts w:ascii="Verdana" w:hAnsi="Verdana"/>
        </w:rPr>
        <w:t>Beneyto</w:t>
      </w:r>
      <w:proofErr w:type="spellEnd"/>
      <w:r w:rsidRPr="00691818">
        <w:rPr>
          <w:rFonts w:ascii="Verdana" w:hAnsi="Verdana"/>
        </w:rPr>
        <w:t xml:space="preserve">, P.J. (2008b): “El sindicalismo español en perspectiva europea: de la anomalía a la convergencia”. En </w:t>
      </w:r>
      <w:r w:rsidRPr="00691818">
        <w:rPr>
          <w:rFonts w:ascii="Verdana" w:hAnsi="Verdana"/>
          <w:i/>
        </w:rPr>
        <w:t>Cuadernos de Relaciones Laborales</w:t>
      </w:r>
      <w:r w:rsidRPr="00691818">
        <w:rPr>
          <w:rFonts w:ascii="Verdana" w:hAnsi="Verdana"/>
        </w:rPr>
        <w:t>, vol. 26, núm. 1, pp. 57-88.</w:t>
      </w:r>
    </w:p>
    <w:p w:rsidR="00691818" w:rsidRPr="00691818" w:rsidRDefault="00691818" w:rsidP="00691818">
      <w:pPr>
        <w:spacing w:line="23" w:lineRule="atLeast"/>
        <w:jc w:val="both"/>
        <w:rPr>
          <w:rFonts w:ascii="Verdana" w:hAnsi="Verdana"/>
        </w:rPr>
      </w:pPr>
      <w:proofErr w:type="spellStart"/>
      <w:r w:rsidRPr="00691818">
        <w:rPr>
          <w:rFonts w:ascii="Verdana" w:hAnsi="Verdana" w:cs="Arial"/>
          <w:shd w:val="clear" w:color="auto" w:fill="FFFFFF"/>
          <w:lang w:val="es-ES_tradnl"/>
        </w:rPr>
        <w:t>Beneyto</w:t>
      </w:r>
      <w:proofErr w:type="spellEnd"/>
      <w:r w:rsidRPr="00691818">
        <w:rPr>
          <w:rFonts w:ascii="Verdana" w:hAnsi="Verdana" w:cs="Arial"/>
          <w:shd w:val="clear" w:color="auto" w:fill="FFFFFF"/>
          <w:lang w:val="es-ES_tradnl"/>
        </w:rPr>
        <w:t xml:space="preserve">, P.J. (2011): “Sindicatos, relaciones laborales y gestión de RRHH”. En M.C. González Menéndez, R. Gutiérrez Palacios y M. </w:t>
      </w:r>
      <w:proofErr w:type="spellStart"/>
      <w:r w:rsidRPr="00691818">
        <w:rPr>
          <w:rFonts w:ascii="Verdana" w:hAnsi="Verdana" w:cs="Arial"/>
          <w:shd w:val="clear" w:color="auto" w:fill="FFFFFF"/>
          <w:lang w:val="es-ES_tradnl"/>
        </w:rPr>
        <w:t>Martinez</w:t>
      </w:r>
      <w:proofErr w:type="spellEnd"/>
      <w:r w:rsidRPr="00691818">
        <w:rPr>
          <w:rFonts w:ascii="Verdana" w:hAnsi="Verdana" w:cs="Arial"/>
          <w:shd w:val="clear" w:color="auto" w:fill="FFFFFF"/>
          <w:lang w:val="es-ES_tradnl"/>
        </w:rPr>
        <w:t xml:space="preserve"> Lucio (</w:t>
      </w:r>
      <w:proofErr w:type="spellStart"/>
      <w:r w:rsidRPr="00691818">
        <w:rPr>
          <w:rFonts w:ascii="Verdana" w:hAnsi="Verdana" w:cs="Arial"/>
          <w:shd w:val="clear" w:color="auto" w:fill="FFFFFF"/>
          <w:lang w:val="es-ES_tradnl"/>
        </w:rPr>
        <w:t>eds</w:t>
      </w:r>
      <w:proofErr w:type="spellEnd"/>
      <w:r w:rsidRPr="00691818">
        <w:rPr>
          <w:rFonts w:ascii="Verdana" w:hAnsi="Verdana" w:cs="Arial"/>
          <w:shd w:val="clear" w:color="auto" w:fill="FFFFFF"/>
          <w:lang w:val="es-ES_tradnl"/>
        </w:rPr>
        <w:t xml:space="preserve">), </w:t>
      </w:r>
      <w:r w:rsidRPr="00691818">
        <w:rPr>
          <w:rFonts w:ascii="Verdana" w:hAnsi="Verdana" w:cs="Arial"/>
          <w:i/>
          <w:shd w:val="clear" w:color="auto" w:fill="FFFFFF"/>
          <w:lang w:val="es-ES_tradnl"/>
        </w:rPr>
        <w:t xml:space="preserve">Gestión de Recursos Humanos. </w:t>
      </w:r>
      <w:r w:rsidRPr="00691818">
        <w:rPr>
          <w:rFonts w:ascii="Verdana" w:hAnsi="Verdana" w:cs="Arial"/>
          <w:i/>
          <w:shd w:val="clear" w:color="auto" w:fill="FFFFFF"/>
        </w:rPr>
        <w:t>Contexto y Políticas</w:t>
      </w:r>
      <w:r w:rsidRPr="00691818">
        <w:rPr>
          <w:rFonts w:ascii="Verdana" w:hAnsi="Verdana" w:cs="Arial"/>
          <w:shd w:val="clear" w:color="auto" w:fill="FFFFFF"/>
        </w:rPr>
        <w:t>. Pamplona: Thomson-</w:t>
      </w:r>
      <w:proofErr w:type="spellStart"/>
      <w:r w:rsidRPr="00691818">
        <w:rPr>
          <w:rFonts w:ascii="Verdana" w:hAnsi="Verdana" w:cs="Arial"/>
          <w:shd w:val="clear" w:color="auto" w:fill="FFFFFF"/>
        </w:rPr>
        <w:t>Cívitas</w:t>
      </w:r>
      <w:proofErr w:type="spellEnd"/>
      <w:r w:rsidRPr="00691818">
        <w:rPr>
          <w:rFonts w:ascii="Verdana" w:hAnsi="Verdana" w:cs="Arial"/>
          <w:shd w:val="clear" w:color="auto" w:fill="FFFFFF"/>
        </w:rPr>
        <w:t>, pp. 343-364.</w:t>
      </w:r>
    </w:p>
    <w:p w:rsidR="00691818" w:rsidRPr="00691818" w:rsidRDefault="00691818" w:rsidP="00691818">
      <w:pPr>
        <w:shd w:val="clear" w:color="auto" w:fill="FFFFFF"/>
        <w:spacing w:line="23" w:lineRule="atLeast"/>
        <w:jc w:val="both"/>
        <w:textAlignment w:val="baseline"/>
        <w:outlineLvl w:val="1"/>
        <w:rPr>
          <w:rFonts w:ascii="Verdana" w:hAnsi="Verdana"/>
        </w:rPr>
      </w:pPr>
      <w:r w:rsidRPr="00691818">
        <w:rPr>
          <w:rFonts w:ascii="Verdana" w:eastAsia="Times New Roman" w:hAnsi="Verdana" w:cs="Arial"/>
          <w:bCs/>
          <w:lang w:eastAsia="es-ES"/>
        </w:rPr>
        <w:t xml:space="preserve">Benito, R. y </w:t>
      </w:r>
      <w:proofErr w:type="spellStart"/>
      <w:r w:rsidRPr="00691818">
        <w:rPr>
          <w:rFonts w:ascii="Verdana" w:eastAsia="Times New Roman" w:hAnsi="Verdana" w:cs="Arial"/>
          <w:bCs/>
          <w:lang w:eastAsia="es-ES"/>
        </w:rPr>
        <w:t>Beneyto</w:t>
      </w:r>
      <w:proofErr w:type="spellEnd"/>
      <w:r w:rsidRPr="00691818">
        <w:rPr>
          <w:rFonts w:ascii="Verdana" w:eastAsia="Times New Roman" w:hAnsi="Verdana" w:cs="Arial"/>
          <w:b/>
          <w:bCs/>
          <w:caps/>
          <w:lang w:eastAsia="es-ES"/>
        </w:rPr>
        <w:t xml:space="preserve">, </w:t>
      </w:r>
      <w:r w:rsidRPr="00691818">
        <w:rPr>
          <w:rFonts w:ascii="Verdana" w:eastAsia="Times New Roman" w:hAnsi="Verdana" w:cs="Arial"/>
          <w:bCs/>
          <w:caps/>
          <w:lang w:eastAsia="es-ES"/>
        </w:rPr>
        <w:t>P.J. (2013)</w:t>
      </w:r>
      <w:r w:rsidRPr="00691818">
        <w:rPr>
          <w:rFonts w:ascii="Verdana" w:eastAsia="Times New Roman" w:hAnsi="Verdana" w:cs="Arial"/>
          <w:b/>
          <w:bCs/>
          <w:caps/>
          <w:lang w:eastAsia="es-ES"/>
        </w:rPr>
        <w:t xml:space="preserve"> </w:t>
      </w:r>
      <w:r w:rsidRPr="00691818">
        <w:rPr>
          <w:rFonts w:ascii="Verdana" w:eastAsia="Times New Roman" w:hAnsi="Verdana"/>
          <w:i/>
          <w:lang w:eastAsia="es-ES"/>
        </w:rPr>
        <w:t>Los sindicatos y las encuestas</w:t>
      </w:r>
      <w:r w:rsidRPr="00691818">
        <w:rPr>
          <w:rFonts w:ascii="Verdana" w:eastAsia="Times New Roman" w:hAnsi="Verdana"/>
          <w:lang w:eastAsia="es-ES"/>
        </w:rPr>
        <w:t xml:space="preserve">, en: </w:t>
      </w:r>
      <w:hyperlink r:id="rId21" w:history="1">
        <w:r w:rsidRPr="00691818">
          <w:rPr>
            <w:rFonts w:ascii="Verdana" w:hAnsi="Verdana"/>
            <w:color w:val="008080"/>
            <w:u w:val="single"/>
          </w:rPr>
          <w:t>http://www.infolibre.es/noticias/opinion/2013/12/23/los_sindicatos_las_encuestas_11448_1023.html</w:t>
        </w:r>
      </w:hyperlink>
      <w:r w:rsidRPr="00691818">
        <w:rPr>
          <w:rFonts w:ascii="Verdana" w:hAnsi="Verdana"/>
        </w:rPr>
        <w:t>.</w:t>
      </w:r>
    </w:p>
    <w:p w:rsidR="00691818" w:rsidRPr="00691818" w:rsidRDefault="00691818" w:rsidP="00691818">
      <w:pPr>
        <w:spacing w:line="23" w:lineRule="atLeast"/>
        <w:jc w:val="both"/>
        <w:rPr>
          <w:rFonts w:ascii="Verdana" w:hAnsi="Verdana"/>
          <w:lang w:val="en-GB"/>
        </w:rPr>
      </w:pPr>
      <w:r w:rsidRPr="00691818">
        <w:rPr>
          <w:rFonts w:ascii="Verdana" w:hAnsi="Verdana"/>
          <w:lang w:val="en-GB"/>
        </w:rPr>
        <w:t xml:space="preserve">Bentham, K.J. (2002): </w:t>
      </w:r>
      <w:r w:rsidRPr="00691818">
        <w:rPr>
          <w:rFonts w:ascii="Verdana" w:hAnsi="Verdana"/>
          <w:bCs/>
          <w:lang w:val="en-GB"/>
        </w:rPr>
        <w:t xml:space="preserve">Employer resistance to union certification: A study of Canadian jurisdictions. </w:t>
      </w:r>
      <w:proofErr w:type="spellStart"/>
      <w:r w:rsidRPr="00691818">
        <w:rPr>
          <w:rFonts w:ascii="Verdana" w:hAnsi="Verdana"/>
          <w:bCs/>
          <w:lang w:val="en-GB"/>
        </w:rPr>
        <w:t>En</w:t>
      </w:r>
      <w:proofErr w:type="spellEnd"/>
      <w:r w:rsidRPr="00691818">
        <w:rPr>
          <w:rFonts w:ascii="Verdana" w:hAnsi="Verdana"/>
          <w:bCs/>
          <w:lang w:val="en-GB"/>
        </w:rPr>
        <w:t xml:space="preserve"> </w:t>
      </w:r>
      <w:r w:rsidRPr="00691818">
        <w:rPr>
          <w:rFonts w:ascii="Verdana" w:hAnsi="Verdana"/>
          <w:i/>
          <w:iCs/>
          <w:lang w:val="en-GB"/>
        </w:rPr>
        <w:t xml:space="preserve">Relations </w:t>
      </w:r>
      <w:proofErr w:type="spellStart"/>
      <w:r w:rsidRPr="00691818">
        <w:rPr>
          <w:rFonts w:ascii="Verdana" w:hAnsi="Verdana"/>
          <w:i/>
          <w:iCs/>
          <w:lang w:val="en-GB"/>
        </w:rPr>
        <w:t>Industrielles</w:t>
      </w:r>
      <w:proofErr w:type="spellEnd"/>
      <w:r w:rsidRPr="00691818">
        <w:rPr>
          <w:rFonts w:ascii="Verdana" w:hAnsi="Verdana"/>
          <w:iCs/>
          <w:lang w:val="en-GB"/>
        </w:rPr>
        <w:t>, vol.</w:t>
      </w:r>
      <w:r w:rsidRPr="00691818">
        <w:rPr>
          <w:rFonts w:ascii="Verdana" w:hAnsi="Verdana"/>
          <w:lang w:val="en-GB"/>
        </w:rPr>
        <w:t xml:space="preserve"> 57, </w:t>
      </w:r>
      <w:proofErr w:type="spellStart"/>
      <w:r w:rsidRPr="00691818">
        <w:rPr>
          <w:rFonts w:ascii="Verdana" w:hAnsi="Verdana"/>
          <w:lang w:val="en-GB"/>
        </w:rPr>
        <w:t>núm</w:t>
      </w:r>
      <w:proofErr w:type="spellEnd"/>
      <w:r w:rsidRPr="00691818">
        <w:rPr>
          <w:rFonts w:ascii="Verdana" w:hAnsi="Verdana"/>
          <w:lang w:val="en-GB"/>
        </w:rPr>
        <w:t>. 1, pp. 159-187.</w:t>
      </w:r>
    </w:p>
    <w:p w:rsidR="00691818" w:rsidRPr="00691818" w:rsidRDefault="00691818" w:rsidP="00691818">
      <w:pPr>
        <w:autoSpaceDE w:val="0"/>
        <w:autoSpaceDN w:val="0"/>
        <w:adjustRightInd w:val="0"/>
        <w:spacing w:line="23" w:lineRule="atLeast"/>
        <w:jc w:val="both"/>
        <w:rPr>
          <w:rFonts w:ascii="Verdana" w:hAnsi="Verdana" w:cstheme="minorHAnsi"/>
          <w:lang w:val="en-GB"/>
        </w:rPr>
      </w:pPr>
      <w:proofErr w:type="spellStart"/>
      <w:r w:rsidRPr="00691818">
        <w:rPr>
          <w:rFonts w:ascii="Verdana" w:hAnsi="Verdana" w:cstheme="minorHAnsi"/>
          <w:highlight w:val="lightGray"/>
          <w:lang w:val="en-GB"/>
        </w:rPr>
        <w:t>Bentolila</w:t>
      </w:r>
      <w:proofErr w:type="spellEnd"/>
      <w:r w:rsidRPr="00691818">
        <w:rPr>
          <w:rFonts w:ascii="Verdana" w:hAnsi="Verdana" w:cstheme="minorHAnsi"/>
          <w:highlight w:val="lightGray"/>
          <w:lang w:val="en-GB"/>
        </w:rPr>
        <w:t>, S. (2010):</w:t>
      </w:r>
    </w:p>
    <w:p w:rsidR="00691818" w:rsidRPr="00691818" w:rsidRDefault="00691818" w:rsidP="00691818">
      <w:pPr>
        <w:autoSpaceDE w:val="0"/>
        <w:autoSpaceDN w:val="0"/>
        <w:adjustRightInd w:val="0"/>
        <w:spacing w:line="23" w:lineRule="atLeast"/>
        <w:jc w:val="both"/>
        <w:rPr>
          <w:rFonts w:ascii="Verdana" w:hAnsi="Verdana" w:cstheme="minorHAnsi"/>
          <w:lang w:val="en-GB"/>
        </w:rPr>
      </w:pPr>
      <w:proofErr w:type="spellStart"/>
      <w:r w:rsidRPr="00691818">
        <w:rPr>
          <w:rFonts w:ascii="Verdana" w:hAnsi="Verdana" w:cstheme="minorHAnsi"/>
          <w:lang w:val="en-GB"/>
        </w:rPr>
        <w:t>Blaschke</w:t>
      </w:r>
      <w:proofErr w:type="spellEnd"/>
      <w:r w:rsidRPr="00691818">
        <w:rPr>
          <w:rFonts w:ascii="Verdana" w:hAnsi="Verdana" w:cstheme="minorHAnsi"/>
          <w:lang w:val="en-GB"/>
        </w:rPr>
        <w:t>, S. (2011): “</w:t>
      </w:r>
      <w:r w:rsidRPr="00691818">
        <w:rPr>
          <w:rFonts w:ascii="Verdana" w:hAnsi="Verdana" w:cstheme="minorHAnsi"/>
          <w:bCs/>
          <w:lang w:val="en-GB"/>
        </w:rPr>
        <w:t xml:space="preserve">Determinants of female representation in the decision-making structures of trade unions”. </w:t>
      </w:r>
      <w:proofErr w:type="spellStart"/>
      <w:proofErr w:type="gramStart"/>
      <w:r w:rsidRPr="00691818">
        <w:rPr>
          <w:rFonts w:ascii="Verdana" w:hAnsi="Verdana" w:cstheme="minorHAnsi"/>
          <w:bCs/>
          <w:lang w:val="en-GB"/>
        </w:rPr>
        <w:t>En</w:t>
      </w:r>
      <w:proofErr w:type="spellEnd"/>
      <w:r w:rsidRPr="00691818">
        <w:rPr>
          <w:rFonts w:ascii="Verdana" w:hAnsi="Verdana" w:cstheme="minorHAnsi"/>
          <w:bCs/>
          <w:lang w:val="en-GB"/>
        </w:rPr>
        <w:t xml:space="preserve"> </w:t>
      </w:r>
      <w:r w:rsidRPr="00691818">
        <w:rPr>
          <w:rFonts w:ascii="Verdana" w:hAnsi="Verdana" w:cstheme="minorHAnsi"/>
          <w:i/>
          <w:iCs/>
          <w:lang w:val="en-GB"/>
        </w:rPr>
        <w:t>Economic and Industrial Democracy</w:t>
      </w:r>
      <w:r w:rsidRPr="00691818">
        <w:rPr>
          <w:rFonts w:ascii="Verdana" w:hAnsi="Verdana" w:cstheme="minorHAnsi"/>
          <w:iCs/>
          <w:lang w:val="en-GB"/>
        </w:rPr>
        <w:t xml:space="preserve">, vol. 32, </w:t>
      </w:r>
      <w:proofErr w:type="spellStart"/>
      <w:r w:rsidRPr="00691818">
        <w:rPr>
          <w:rFonts w:ascii="Verdana" w:hAnsi="Verdana" w:cstheme="minorHAnsi"/>
          <w:iCs/>
          <w:lang w:val="en-GB"/>
        </w:rPr>
        <w:t>núm</w:t>
      </w:r>
      <w:proofErr w:type="spellEnd"/>
      <w:r w:rsidRPr="00691818">
        <w:rPr>
          <w:rFonts w:ascii="Verdana" w:hAnsi="Verdana" w:cstheme="minorHAnsi"/>
          <w:iCs/>
          <w:lang w:val="en-GB"/>
        </w:rPr>
        <w:t>.</w:t>
      </w:r>
      <w:proofErr w:type="gramEnd"/>
      <w:r w:rsidRPr="00691818">
        <w:rPr>
          <w:rFonts w:ascii="Verdana" w:hAnsi="Verdana" w:cstheme="minorHAnsi"/>
          <w:iCs/>
          <w:lang w:val="en-GB"/>
        </w:rPr>
        <w:t xml:space="preserve"> 3, pp. 421</w:t>
      </w:r>
    </w:p>
    <w:p w:rsidR="00691818" w:rsidRPr="00691818" w:rsidRDefault="00691818" w:rsidP="00691818">
      <w:pPr>
        <w:spacing w:line="23" w:lineRule="atLeast"/>
        <w:jc w:val="both"/>
        <w:rPr>
          <w:rFonts w:ascii="Verdana" w:hAnsi="Verdana" w:cstheme="minorHAnsi"/>
          <w:lang w:val="en-US"/>
        </w:rPr>
      </w:pPr>
      <w:r w:rsidRPr="00691818">
        <w:rPr>
          <w:rFonts w:ascii="Verdana" w:hAnsi="Verdana" w:cstheme="minorHAnsi"/>
          <w:lang w:val="en-US"/>
        </w:rPr>
        <w:t xml:space="preserve">Bryson, A.; Forth, J.; Kirby, S. (2005): “High-Involvement Management Practices, Trade Union Representation and Workplace Performance in Britain”. </w:t>
      </w:r>
      <w:proofErr w:type="spellStart"/>
      <w:r w:rsidRPr="00691818">
        <w:rPr>
          <w:rFonts w:ascii="Verdana" w:hAnsi="Verdana" w:cstheme="minorHAnsi"/>
          <w:lang w:val="en-US"/>
        </w:rPr>
        <w:t>En</w:t>
      </w:r>
      <w:proofErr w:type="spellEnd"/>
      <w:r w:rsidRPr="00691818">
        <w:rPr>
          <w:rFonts w:ascii="Verdana" w:hAnsi="Verdana" w:cstheme="minorHAnsi"/>
          <w:lang w:val="en-US"/>
        </w:rPr>
        <w:t xml:space="preserve"> </w:t>
      </w:r>
      <w:r w:rsidRPr="00691818">
        <w:rPr>
          <w:rFonts w:ascii="Verdana" w:hAnsi="Verdana" w:cstheme="minorHAnsi"/>
          <w:i/>
          <w:lang w:val="en-US"/>
        </w:rPr>
        <w:t>Scottish Journal of Political Economy</w:t>
      </w:r>
      <w:r w:rsidRPr="00691818">
        <w:rPr>
          <w:rFonts w:ascii="Verdana" w:hAnsi="Verdana" w:cstheme="minorHAnsi"/>
          <w:lang w:val="en-US"/>
        </w:rPr>
        <w:t xml:space="preserve">, vol. 52, </w:t>
      </w:r>
      <w:proofErr w:type="spellStart"/>
      <w:r w:rsidRPr="00691818">
        <w:rPr>
          <w:rFonts w:ascii="Verdana" w:hAnsi="Verdana" w:cstheme="minorHAnsi"/>
          <w:lang w:val="en-US"/>
        </w:rPr>
        <w:t>núm</w:t>
      </w:r>
      <w:proofErr w:type="spellEnd"/>
      <w:r w:rsidRPr="00691818">
        <w:rPr>
          <w:rFonts w:ascii="Verdana" w:hAnsi="Verdana" w:cstheme="minorHAnsi"/>
          <w:lang w:val="en-US"/>
        </w:rPr>
        <w:t>. 3, pp. 451-491.</w:t>
      </w:r>
    </w:p>
    <w:p w:rsidR="00691818" w:rsidRPr="00691818" w:rsidRDefault="00691818" w:rsidP="00691818">
      <w:pPr>
        <w:spacing w:line="23" w:lineRule="atLeast"/>
        <w:jc w:val="both"/>
        <w:rPr>
          <w:rFonts w:ascii="Verdana" w:hAnsi="Verdana" w:cstheme="minorHAnsi"/>
        </w:rPr>
      </w:pPr>
      <w:r w:rsidRPr="00691818">
        <w:rPr>
          <w:rFonts w:ascii="Verdana" w:hAnsi="Verdana" w:cstheme="minorHAnsi"/>
          <w:lang w:val="en-US"/>
        </w:rPr>
        <w:t>Bryson, A.; Charlwood, A.; Forth, J. (2006): “</w:t>
      </w:r>
      <w:r w:rsidRPr="00691818">
        <w:rPr>
          <w:rFonts w:ascii="Verdana" w:hAnsi="Verdana" w:cstheme="minorHAnsi"/>
          <w:bCs/>
          <w:lang w:val="en-US"/>
        </w:rPr>
        <w:t xml:space="preserve">Worker voice, managerial response and </w:t>
      </w:r>
      <w:proofErr w:type="spellStart"/>
      <w:r w:rsidRPr="00691818">
        <w:rPr>
          <w:rFonts w:ascii="Verdana" w:hAnsi="Verdana" w:cstheme="minorHAnsi"/>
          <w:bCs/>
          <w:lang w:val="en-US"/>
        </w:rPr>
        <w:t>labour</w:t>
      </w:r>
      <w:proofErr w:type="spellEnd"/>
      <w:r w:rsidRPr="00691818">
        <w:rPr>
          <w:rFonts w:ascii="Verdana" w:hAnsi="Verdana" w:cstheme="minorHAnsi"/>
          <w:bCs/>
          <w:lang w:val="en-US"/>
        </w:rPr>
        <w:t xml:space="preserve"> productivity: an empirical investigation”. </w:t>
      </w:r>
      <w:r w:rsidRPr="00691818">
        <w:rPr>
          <w:rFonts w:ascii="Verdana" w:hAnsi="Verdana" w:cstheme="minorHAnsi"/>
          <w:bCs/>
        </w:rPr>
        <w:t xml:space="preserve">En </w:t>
      </w:r>
      <w:r w:rsidRPr="00691818">
        <w:rPr>
          <w:rFonts w:ascii="Verdana" w:hAnsi="Verdana" w:cstheme="minorHAnsi"/>
          <w:i/>
          <w:iCs/>
        </w:rPr>
        <w:t xml:space="preserve">Industrial </w:t>
      </w:r>
      <w:proofErr w:type="spellStart"/>
      <w:r w:rsidRPr="00691818">
        <w:rPr>
          <w:rFonts w:ascii="Verdana" w:hAnsi="Verdana" w:cstheme="minorHAnsi"/>
          <w:i/>
          <w:iCs/>
        </w:rPr>
        <w:t>Relations</w:t>
      </w:r>
      <w:proofErr w:type="spellEnd"/>
      <w:r w:rsidRPr="00691818">
        <w:rPr>
          <w:rFonts w:ascii="Verdana" w:hAnsi="Verdana" w:cstheme="minorHAnsi"/>
          <w:i/>
          <w:iCs/>
        </w:rPr>
        <w:t xml:space="preserve"> </w:t>
      </w:r>
      <w:proofErr w:type="spellStart"/>
      <w:r w:rsidRPr="00691818">
        <w:rPr>
          <w:rFonts w:ascii="Verdana" w:hAnsi="Verdana" w:cstheme="minorHAnsi"/>
          <w:i/>
          <w:iCs/>
        </w:rPr>
        <w:t>Journal</w:t>
      </w:r>
      <w:proofErr w:type="spellEnd"/>
      <w:r w:rsidRPr="00691818">
        <w:rPr>
          <w:rFonts w:ascii="Verdana" w:hAnsi="Verdana" w:cstheme="minorHAnsi"/>
          <w:iCs/>
        </w:rPr>
        <w:t xml:space="preserve">, vol. </w:t>
      </w:r>
      <w:r w:rsidRPr="00691818">
        <w:rPr>
          <w:rFonts w:ascii="Verdana" w:hAnsi="Verdana" w:cstheme="minorHAnsi"/>
        </w:rPr>
        <w:t>37, núm. 5, pp. 438–455.</w:t>
      </w:r>
    </w:p>
    <w:p w:rsidR="00691818" w:rsidRPr="00691818" w:rsidRDefault="00691818" w:rsidP="00691818">
      <w:pPr>
        <w:spacing w:line="23" w:lineRule="atLeast"/>
        <w:jc w:val="both"/>
        <w:rPr>
          <w:rFonts w:ascii="Verdana" w:hAnsi="Verdana" w:cstheme="minorHAnsi"/>
        </w:rPr>
      </w:pPr>
      <w:r w:rsidRPr="00691818">
        <w:rPr>
          <w:rFonts w:ascii="Verdana" w:hAnsi="Verdana" w:cstheme="minorHAnsi"/>
        </w:rPr>
        <w:t xml:space="preserve">CCOO (2013): Por un nuevo impulso democrático. En </w:t>
      </w:r>
      <w:r w:rsidRPr="00691818">
        <w:rPr>
          <w:rFonts w:ascii="Verdana" w:hAnsi="Verdana" w:cstheme="minorHAnsi"/>
          <w:i/>
        </w:rPr>
        <w:t>Gaceta Sindical, reflexión y debate</w:t>
      </w:r>
      <w:r w:rsidRPr="00691818">
        <w:rPr>
          <w:rFonts w:ascii="Verdana" w:hAnsi="Verdana" w:cstheme="minorHAnsi"/>
        </w:rPr>
        <w:t>, núm. 21.</w:t>
      </w:r>
    </w:p>
    <w:p w:rsidR="00691818" w:rsidRPr="00691818" w:rsidRDefault="00691818" w:rsidP="00691818">
      <w:pPr>
        <w:autoSpaceDE w:val="0"/>
        <w:autoSpaceDN w:val="0"/>
        <w:adjustRightInd w:val="0"/>
        <w:spacing w:line="23" w:lineRule="atLeast"/>
        <w:jc w:val="both"/>
        <w:rPr>
          <w:rFonts w:ascii="Verdana" w:hAnsi="Verdana" w:cstheme="minorHAnsi"/>
          <w:lang w:val="fr-FR"/>
        </w:rPr>
      </w:pPr>
      <w:r w:rsidRPr="00691818">
        <w:rPr>
          <w:rFonts w:ascii="Verdana" w:hAnsi="Verdana" w:cstheme="minorHAnsi"/>
          <w:lang w:val="en-US"/>
        </w:rPr>
        <w:t>Chang, T.F.H. (2005): “</w:t>
      </w:r>
      <w:r w:rsidRPr="00691818">
        <w:rPr>
          <w:rFonts w:ascii="Verdana" w:hAnsi="Verdana" w:cstheme="minorHAnsi"/>
          <w:bCs/>
          <w:lang w:val="en-US"/>
        </w:rPr>
        <w:t xml:space="preserve">Local Union Leaders' Conception and Ideology of Stewards' Roles”. </w:t>
      </w:r>
      <w:r w:rsidRPr="00691818">
        <w:rPr>
          <w:rFonts w:ascii="Verdana" w:hAnsi="Verdana" w:cstheme="minorHAnsi"/>
          <w:bCs/>
          <w:lang w:val="fr-FR"/>
        </w:rPr>
        <w:t xml:space="preserve">En </w:t>
      </w:r>
      <w:r w:rsidRPr="00691818">
        <w:rPr>
          <w:rFonts w:ascii="Verdana" w:hAnsi="Verdana" w:cstheme="minorHAnsi"/>
          <w:i/>
          <w:lang w:val="fr-FR"/>
        </w:rPr>
        <w:t xml:space="preserve">Labor </w:t>
      </w:r>
      <w:proofErr w:type="spellStart"/>
      <w:r w:rsidRPr="00691818">
        <w:rPr>
          <w:rFonts w:ascii="Verdana" w:hAnsi="Verdana" w:cstheme="minorHAnsi"/>
          <w:i/>
          <w:lang w:val="fr-FR"/>
        </w:rPr>
        <w:t>Studies</w:t>
      </w:r>
      <w:proofErr w:type="spellEnd"/>
      <w:r w:rsidRPr="00691818">
        <w:rPr>
          <w:rFonts w:ascii="Verdana" w:hAnsi="Verdana" w:cstheme="minorHAnsi"/>
          <w:i/>
          <w:lang w:val="fr-FR"/>
        </w:rPr>
        <w:t xml:space="preserve"> Journal</w:t>
      </w:r>
      <w:r w:rsidRPr="00691818">
        <w:rPr>
          <w:rFonts w:ascii="Verdana" w:hAnsi="Verdana" w:cstheme="minorHAnsi"/>
          <w:lang w:val="fr-FR"/>
        </w:rPr>
        <w:t xml:space="preserve">, vol. 30, </w:t>
      </w:r>
      <w:proofErr w:type="spellStart"/>
      <w:r w:rsidRPr="00691818">
        <w:rPr>
          <w:rFonts w:ascii="Verdana" w:hAnsi="Verdana" w:cstheme="minorHAnsi"/>
          <w:lang w:val="fr-FR"/>
        </w:rPr>
        <w:t>núm</w:t>
      </w:r>
      <w:proofErr w:type="spellEnd"/>
      <w:r w:rsidRPr="00691818">
        <w:rPr>
          <w:rFonts w:ascii="Verdana" w:hAnsi="Verdana" w:cstheme="minorHAnsi"/>
          <w:lang w:val="fr-FR"/>
        </w:rPr>
        <w:t>. 3, pp. 49-71.</w:t>
      </w:r>
    </w:p>
    <w:p w:rsidR="00691818" w:rsidRPr="00691818" w:rsidRDefault="00691818" w:rsidP="00691818">
      <w:pPr>
        <w:autoSpaceDE w:val="0"/>
        <w:autoSpaceDN w:val="0"/>
        <w:adjustRightInd w:val="0"/>
        <w:spacing w:line="23" w:lineRule="atLeast"/>
        <w:jc w:val="both"/>
        <w:rPr>
          <w:rFonts w:ascii="Verdana" w:hAnsi="Verdana" w:cstheme="minorHAnsi"/>
          <w:iCs/>
          <w:lang w:val="fr-FR"/>
        </w:rPr>
      </w:pPr>
      <w:proofErr w:type="spellStart"/>
      <w:r w:rsidRPr="00691818">
        <w:rPr>
          <w:rFonts w:ascii="Verdana" w:hAnsi="Verdana" w:cstheme="minorHAnsi"/>
          <w:iCs/>
          <w:lang w:val="fr-FR"/>
        </w:rPr>
        <w:lastRenderedPageBreak/>
        <w:t>Charlwood</w:t>
      </w:r>
      <w:proofErr w:type="spellEnd"/>
      <w:r w:rsidRPr="00691818">
        <w:rPr>
          <w:rFonts w:ascii="Verdana" w:hAnsi="Verdana" w:cstheme="minorHAnsi"/>
          <w:iCs/>
          <w:lang w:val="fr-FR"/>
        </w:rPr>
        <w:t>, A. ; Forth, J. (2011</w:t>
      </w:r>
      <w:r w:rsidRPr="00691818">
        <w:rPr>
          <w:rFonts w:ascii="Verdana" w:hAnsi="Verdana" w:cstheme="minorHAnsi"/>
          <w:lang w:val="fr-FR"/>
        </w:rPr>
        <w:t>): “</w:t>
      </w:r>
      <w:r w:rsidRPr="00691818">
        <w:rPr>
          <w:rFonts w:ascii="Verdana" w:hAnsi="Verdana" w:cstheme="minorHAnsi"/>
          <w:bCs/>
          <w:lang w:val="fr-FR"/>
        </w:rPr>
        <w:t xml:space="preserve">Les mutations de la représentation des salariés en Grande-Bretagne”. En </w:t>
      </w:r>
      <w:r w:rsidRPr="00691818">
        <w:rPr>
          <w:rFonts w:ascii="Verdana" w:hAnsi="Verdana" w:cstheme="minorHAnsi"/>
          <w:i/>
          <w:iCs/>
          <w:lang w:val="fr-FR"/>
        </w:rPr>
        <w:t>Revue de l’IRES</w:t>
      </w:r>
      <w:r w:rsidRPr="00691818">
        <w:rPr>
          <w:rFonts w:ascii="Verdana" w:hAnsi="Verdana" w:cstheme="minorHAnsi"/>
          <w:iCs/>
          <w:lang w:val="fr-FR"/>
        </w:rPr>
        <w:t xml:space="preserve">, vol. 68, </w:t>
      </w:r>
      <w:proofErr w:type="spellStart"/>
      <w:r w:rsidRPr="00691818">
        <w:rPr>
          <w:rFonts w:ascii="Verdana" w:hAnsi="Verdana" w:cstheme="minorHAnsi"/>
          <w:iCs/>
          <w:lang w:val="fr-FR"/>
        </w:rPr>
        <w:t>núm</w:t>
      </w:r>
      <w:proofErr w:type="spellEnd"/>
      <w:r w:rsidRPr="00691818">
        <w:rPr>
          <w:rFonts w:ascii="Verdana" w:hAnsi="Verdana" w:cstheme="minorHAnsi"/>
          <w:iCs/>
          <w:lang w:val="fr-FR"/>
        </w:rPr>
        <w:t>. 1, pp. 43-73.</w:t>
      </w:r>
    </w:p>
    <w:p w:rsidR="00691818" w:rsidRPr="00691818" w:rsidRDefault="00691818" w:rsidP="00691818">
      <w:pPr>
        <w:autoSpaceDE w:val="0"/>
        <w:autoSpaceDN w:val="0"/>
        <w:adjustRightInd w:val="0"/>
        <w:spacing w:line="23" w:lineRule="atLeast"/>
        <w:jc w:val="both"/>
        <w:rPr>
          <w:rFonts w:ascii="Verdana" w:hAnsi="Verdana" w:cstheme="minorHAnsi"/>
          <w:iCs/>
          <w:lang w:val="fr-FR"/>
        </w:rPr>
      </w:pPr>
      <w:proofErr w:type="spellStart"/>
      <w:r w:rsidRPr="00691818">
        <w:rPr>
          <w:rFonts w:ascii="Verdana" w:hAnsi="Verdana" w:cstheme="minorHAnsi"/>
          <w:iCs/>
          <w:lang w:val="fr-FR"/>
        </w:rPr>
        <w:t>Comisión</w:t>
      </w:r>
      <w:proofErr w:type="spellEnd"/>
      <w:r w:rsidRPr="00691818">
        <w:rPr>
          <w:rFonts w:ascii="Verdana" w:hAnsi="Verdana" w:cstheme="minorHAnsi"/>
          <w:iCs/>
          <w:lang w:val="fr-FR"/>
        </w:rPr>
        <w:t xml:space="preserve"> </w:t>
      </w:r>
      <w:proofErr w:type="spellStart"/>
      <w:r w:rsidRPr="00691818">
        <w:rPr>
          <w:rFonts w:ascii="Verdana" w:hAnsi="Verdana" w:cstheme="minorHAnsi"/>
          <w:iCs/>
          <w:lang w:val="fr-FR"/>
        </w:rPr>
        <w:t>Europea</w:t>
      </w:r>
      <w:proofErr w:type="spellEnd"/>
      <w:r w:rsidRPr="00691818">
        <w:rPr>
          <w:rFonts w:ascii="Verdana" w:hAnsi="Verdana" w:cstheme="minorHAnsi"/>
          <w:iCs/>
          <w:lang w:val="fr-FR"/>
        </w:rPr>
        <w:t xml:space="preserve"> (2013): </w:t>
      </w:r>
      <w:proofErr w:type="spellStart"/>
      <w:r w:rsidRPr="00691818">
        <w:rPr>
          <w:rFonts w:ascii="Verdana" w:hAnsi="Verdana" w:cstheme="minorHAnsi"/>
          <w:i/>
          <w:iCs/>
          <w:lang w:val="fr-FR"/>
        </w:rPr>
        <w:t>Industrial</w:t>
      </w:r>
      <w:proofErr w:type="spellEnd"/>
      <w:r w:rsidRPr="00691818">
        <w:rPr>
          <w:rFonts w:ascii="Verdana" w:hAnsi="Verdana" w:cstheme="minorHAnsi"/>
          <w:i/>
          <w:iCs/>
          <w:lang w:val="fr-FR"/>
        </w:rPr>
        <w:t xml:space="preserve"> Relations in Europe 2012</w:t>
      </w:r>
      <w:r w:rsidRPr="00691818">
        <w:rPr>
          <w:rFonts w:ascii="Verdana" w:hAnsi="Verdana" w:cstheme="minorHAnsi"/>
          <w:iCs/>
          <w:lang w:val="fr-FR"/>
        </w:rPr>
        <w:t xml:space="preserve">. Brussels: </w:t>
      </w:r>
      <w:proofErr w:type="spellStart"/>
      <w:r w:rsidRPr="00691818">
        <w:rPr>
          <w:rFonts w:ascii="Verdana" w:hAnsi="Verdana" w:cstheme="minorHAnsi"/>
          <w:iCs/>
          <w:lang w:val="fr-FR"/>
        </w:rPr>
        <w:t>European</w:t>
      </w:r>
      <w:proofErr w:type="spellEnd"/>
      <w:r w:rsidRPr="00691818">
        <w:rPr>
          <w:rFonts w:ascii="Verdana" w:hAnsi="Verdana" w:cstheme="minorHAnsi"/>
          <w:iCs/>
          <w:lang w:val="fr-FR"/>
        </w:rPr>
        <w:t xml:space="preserve"> Commission.</w:t>
      </w:r>
    </w:p>
    <w:p w:rsidR="00691818" w:rsidRPr="00691818" w:rsidRDefault="00691818" w:rsidP="00691818">
      <w:pPr>
        <w:autoSpaceDE w:val="0"/>
        <w:autoSpaceDN w:val="0"/>
        <w:adjustRightInd w:val="0"/>
        <w:spacing w:line="23" w:lineRule="atLeast"/>
        <w:jc w:val="both"/>
        <w:rPr>
          <w:rFonts w:ascii="Verdana" w:hAnsi="Verdana" w:cstheme="minorHAnsi"/>
          <w:lang w:val="fr-FR"/>
        </w:rPr>
      </w:pPr>
      <w:r w:rsidRPr="00691818">
        <w:rPr>
          <w:rFonts w:ascii="Verdana" w:hAnsi="Verdana" w:cstheme="minorHAnsi"/>
        </w:rPr>
        <w:t xml:space="preserve">Dolado, J.J.; </w:t>
      </w:r>
      <w:proofErr w:type="spellStart"/>
      <w:r w:rsidRPr="00691818">
        <w:rPr>
          <w:rFonts w:ascii="Verdana" w:hAnsi="Verdana" w:cstheme="minorHAnsi"/>
        </w:rPr>
        <w:t>Felgueroso</w:t>
      </w:r>
      <w:proofErr w:type="spellEnd"/>
      <w:r w:rsidRPr="00691818">
        <w:rPr>
          <w:rFonts w:ascii="Verdana" w:hAnsi="Verdana" w:cstheme="minorHAnsi"/>
        </w:rPr>
        <w:t>, F. (</w:t>
      </w:r>
      <w:proofErr w:type="spellStart"/>
      <w:r w:rsidRPr="00691818">
        <w:rPr>
          <w:rFonts w:ascii="Verdana" w:hAnsi="Verdana" w:cstheme="minorHAnsi"/>
        </w:rPr>
        <w:t>coords</w:t>
      </w:r>
      <w:proofErr w:type="spellEnd"/>
      <w:r w:rsidRPr="00691818">
        <w:rPr>
          <w:rFonts w:ascii="Verdana" w:hAnsi="Verdana" w:cstheme="minorHAnsi"/>
        </w:rPr>
        <w:t xml:space="preserve">., 2010): </w:t>
      </w:r>
      <w:r w:rsidRPr="00691818">
        <w:rPr>
          <w:rFonts w:ascii="Verdana" w:hAnsi="Verdana" w:cstheme="minorHAnsi"/>
          <w:i/>
        </w:rPr>
        <w:t>Propuesta para la reactivación laboral de España</w:t>
      </w:r>
      <w:r w:rsidRPr="00691818">
        <w:rPr>
          <w:rFonts w:ascii="Verdana" w:hAnsi="Verdana" w:cstheme="minorHAnsi"/>
        </w:rPr>
        <w:t xml:space="preserve">. </w:t>
      </w:r>
      <w:r w:rsidRPr="00691818">
        <w:rPr>
          <w:rFonts w:ascii="Verdana" w:hAnsi="Verdana" w:cstheme="minorHAnsi"/>
          <w:lang w:val="fr-FR"/>
        </w:rPr>
        <w:t>Madrid: FEDEA.</w:t>
      </w:r>
    </w:p>
    <w:p w:rsidR="00691818" w:rsidRPr="00691818" w:rsidRDefault="00691818" w:rsidP="00691818">
      <w:pPr>
        <w:autoSpaceDE w:val="0"/>
        <w:autoSpaceDN w:val="0"/>
        <w:adjustRightInd w:val="0"/>
        <w:spacing w:line="23" w:lineRule="atLeast"/>
        <w:jc w:val="both"/>
        <w:rPr>
          <w:rFonts w:ascii="Verdana" w:hAnsi="Verdana"/>
          <w:lang w:val="fr-FR"/>
        </w:rPr>
      </w:pPr>
      <w:r w:rsidRPr="00691818">
        <w:rPr>
          <w:rFonts w:ascii="Verdana" w:hAnsi="Verdana" w:cstheme="minorHAnsi"/>
          <w:lang w:val="fr-FR"/>
        </w:rPr>
        <w:t xml:space="preserve">Dufour, C.; </w:t>
      </w:r>
      <w:proofErr w:type="spellStart"/>
      <w:r w:rsidRPr="00691818">
        <w:rPr>
          <w:rFonts w:ascii="Verdana" w:hAnsi="Verdana" w:cstheme="minorHAnsi"/>
          <w:lang w:val="fr-FR"/>
        </w:rPr>
        <w:t>Hege</w:t>
      </w:r>
      <w:proofErr w:type="spellEnd"/>
      <w:r w:rsidRPr="00691818">
        <w:rPr>
          <w:rFonts w:ascii="Verdana" w:hAnsi="Verdana" w:cstheme="minorHAnsi"/>
          <w:lang w:val="fr-FR"/>
        </w:rPr>
        <w:t xml:space="preserve">, A. (2011): </w:t>
      </w:r>
      <w:r w:rsidRPr="00691818">
        <w:rPr>
          <w:rFonts w:ascii="Verdana" w:hAnsi="Verdana" w:cstheme="minorHAnsi"/>
          <w:color w:val="333333"/>
          <w:lang w:val="fr-FR"/>
        </w:rPr>
        <w:t xml:space="preserve">"Les délégués et le renouveau syndical". En </w:t>
      </w:r>
      <w:r w:rsidRPr="00691818">
        <w:rPr>
          <w:rFonts w:ascii="Verdana" w:hAnsi="Verdana" w:cstheme="minorHAnsi"/>
          <w:i/>
          <w:color w:val="333333"/>
          <w:lang w:val="fr-FR"/>
        </w:rPr>
        <w:t>Revue de l’IRES</w:t>
      </w:r>
      <w:r w:rsidRPr="00691818">
        <w:rPr>
          <w:rFonts w:ascii="Verdana" w:hAnsi="Verdana" w:cstheme="minorHAnsi"/>
          <w:color w:val="333333"/>
          <w:lang w:val="fr-FR"/>
        </w:rPr>
        <w:t>, vol. 68, núm1, pp. 19-42.</w:t>
      </w:r>
    </w:p>
    <w:p w:rsidR="00691818" w:rsidRPr="00691818" w:rsidRDefault="00691818" w:rsidP="00691818">
      <w:pPr>
        <w:autoSpaceDE w:val="0"/>
        <w:autoSpaceDN w:val="0"/>
        <w:adjustRightInd w:val="0"/>
        <w:spacing w:line="23" w:lineRule="atLeast"/>
        <w:jc w:val="both"/>
        <w:rPr>
          <w:rFonts w:ascii="Verdana" w:hAnsi="Verdana"/>
          <w:lang w:val="ca-ES"/>
        </w:rPr>
      </w:pPr>
      <w:r w:rsidRPr="00691818">
        <w:rPr>
          <w:rFonts w:ascii="Verdana" w:hAnsi="Verdana" w:cstheme="minorHAnsi"/>
          <w:lang w:val="fr-FR"/>
        </w:rPr>
        <w:t>Dufour</w:t>
      </w:r>
      <w:r w:rsidRPr="00691818">
        <w:rPr>
          <w:rFonts w:ascii="Verdana" w:hAnsi="Verdana" w:cstheme="minorHAnsi"/>
          <w:iCs/>
          <w:lang w:val="ca-ES"/>
        </w:rPr>
        <w:t xml:space="preserve">, C.; Murray, G.; </w:t>
      </w:r>
      <w:proofErr w:type="spellStart"/>
      <w:r w:rsidRPr="00691818">
        <w:rPr>
          <w:rFonts w:ascii="Verdana" w:hAnsi="Verdana" w:cstheme="minorHAnsi"/>
          <w:iCs/>
          <w:lang w:val="ca-ES"/>
        </w:rPr>
        <w:t>Peetz</w:t>
      </w:r>
      <w:proofErr w:type="spellEnd"/>
      <w:r w:rsidRPr="00691818">
        <w:rPr>
          <w:rFonts w:ascii="Verdana" w:hAnsi="Verdana" w:cstheme="minorHAnsi"/>
          <w:iCs/>
          <w:lang w:val="ca-ES"/>
        </w:rPr>
        <w:t xml:space="preserve">, D.; </w:t>
      </w:r>
      <w:proofErr w:type="spellStart"/>
      <w:r w:rsidRPr="00691818">
        <w:rPr>
          <w:rFonts w:ascii="Verdana" w:hAnsi="Verdana" w:cstheme="minorHAnsi"/>
          <w:iCs/>
          <w:lang w:val="ca-ES"/>
        </w:rPr>
        <w:t>Yates</w:t>
      </w:r>
      <w:proofErr w:type="spellEnd"/>
      <w:r w:rsidRPr="00691818">
        <w:rPr>
          <w:rFonts w:ascii="Verdana" w:hAnsi="Verdana" w:cstheme="minorHAnsi"/>
          <w:iCs/>
          <w:lang w:val="ca-ES"/>
        </w:rPr>
        <w:t xml:space="preserve">, </w:t>
      </w:r>
      <w:proofErr w:type="spellStart"/>
      <w:r w:rsidRPr="00691818">
        <w:rPr>
          <w:rFonts w:ascii="Verdana" w:hAnsi="Verdana" w:cstheme="minorHAnsi"/>
          <w:iCs/>
          <w:lang w:val="ca-ES"/>
        </w:rPr>
        <w:t>Ch</w:t>
      </w:r>
      <w:proofErr w:type="spellEnd"/>
      <w:r w:rsidRPr="00691818">
        <w:rPr>
          <w:rFonts w:ascii="Verdana" w:hAnsi="Verdana" w:cstheme="minorHAnsi"/>
          <w:iCs/>
          <w:lang w:val="ca-ES"/>
        </w:rPr>
        <w:t>. (2010): “</w:t>
      </w:r>
      <w:proofErr w:type="spellStart"/>
      <w:r w:rsidRPr="00691818">
        <w:rPr>
          <w:rFonts w:ascii="Verdana" w:hAnsi="Verdana" w:cstheme="minorHAnsi"/>
          <w:bCs/>
          <w:lang w:val="ca-ES"/>
        </w:rPr>
        <w:t>Repenser</w:t>
      </w:r>
      <w:proofErr w:type="spellEnd"/>
      <w:r w:rsidRPr="00691818">
        <w:rPr>
          <w:rFonts w:ascii="Verdana" w:hAnsi="Verdana" w:cstheme="minorHAnsi"/>
          <w:bCs/>
          <w:lang w:val="ca-ES"/>
        </w:rPr>
        <w:t xml:space="preserve"> la </w:t>
      </w:r>
      <w:proofErr w:type="spellStart"/>
      <w:r w:rsidRPr="00691818">
        <w:rPr>
          <w:rFonts w:ascii="Verdana" w:hAnsi="Verdana" w:cstheme="minorHAnsi"/>
          <w:bCs/>
          <w:lang w:val="ca-ES"/>
        </w:rPr>
        <w:t>représentation</w:t>
      </w:r>
      <w:proofErr w:type="spellEnd"/>
      <w:r w:rsidRPr="00691818">
        <w:rPr>
          <w:rFonts w:ascii="Verdana" w:hAnsi="Verdana" w:cstheme="minorHAnsi"/>
          <w:bCs/>
          <w:lang w:val="ca-ES"/>
        </w:rPr>
        <w:t xml:space="preserve"> </w:t>
      </w:r>
      <w:proofErr w:type="spellStart"/>
      <w:r w:rsidRPr="00691818">
        <w:rPr>
          <w:rFonts w:ascii="Verdana" w:hAnsi="Verdana" w:cstheme="minorHAnsi"/>
          <w:bCs/>
          <w:lang w:val="ca-ES"/>
        </w:rPr>
        <w:t>collective</w:t>
      </w:r>
      <w:proofErr w:type="spellEnd"/>
      <w:r w:rsidRPr="00691818">
        <w:rPr>
          <w:rFonts w:ascii="Verdana" w:hAnsi="Verdana" w:cstheme="minorHAnsi"/>
          <w:bCs/>
          <w:lang w:val="ca-ES"/>
        </w:rPr>
        <w:t xml:space="preserve">: </w:t>
      </w:r>
      <w:proofErr w:type="spellStart"/>
      <w:r w:rsidRPr="00691818">
        <w:rPr>
          <w:rFonts w:ascii="Verdana" w:hAnsi="Verdana" w:cstheme="minorHAnsi"/>
          <w:bCs/>
          <w:lang w:val="ca-ES"/>
        </w:rPr>
        <w:t>introduction</w:t>
      </w:r>
      <w:proofErr w:type="spellEnd"/>
      <w:r w:rsidRPr="00691818">
        <w:rPr>
          <w:rFonts w:ascii="Verdana" w:hAnsi="Verdana" w:cstheme="minorHAnsi"/>
          <w:bCs/>
          <w:lang w:val="ca-ES"/>
        </w:rPr>
        <w:t xml:space="preserve">”. En </w:t>
      </w:r>
      <w:r w:rsidRPr="00691818">
        <w:rPr>
          <w:rFonts w:ascii="Verdana" w:hAnsi="Verdana" w:cstheme="minorHAnsi"/>
          <w:i/>
          <w:color w:val="333333"/>
          <w:lang w:val="en-US"/>
        </w:rPr>
        <w:t xml:space="preserve">Revue de </w:t>
      </w:r>
      <w:proofErr w:type="spellStart"/>
      <w:r w:rsidRPr="00691818">
        <w:rPr>
          <w:rFonts w:ascii="Verdana" w:hAnsi="Verdana" w:cstheme="minorHAnsi"/>
          <w:i/>
          <w:color w:val="333333"/>
          <w:lang w:val="en-US"/>
        </w:rPr>
        <w:t>l’IRES</w:t>
      </w:r>
      <w:proofErr w:type="spellEnd"/>
      <w:r w:rsidRPr="00691818">
        <w:rPr>
          <w:rFonts w:ascii="Verdana" w:hAnsi="Verdana" w:cstheme="minorHAnsi"/>
          <w:color w:val="333333"/>
          <w:lang w:val="en-US"/>
        </w:rPr>
        <w:t xml:space="preserve">, vol. </w:t>
      </w:r>
      <w:r w:rsidRPr="00691818">
        <w:rPr>
          <w:rFonts w:ascii="Verdana" w:hAnsi="Verdana" w:cstheme="minorHAnsi"/>
          <w:iCs/>
          <w:lang w:val="ca-ES"/>
        </w:rPr>
        <w:t xml:space="preserve">65, </w:t>
      </w:r>
      <w:proofErr w:type="spellStart"/>
      <w:r w:rsidRPr="00691818">
        <w:rPr>
          <w:rFonts w:ascii="Verdana" w:hAnsi="Verdana" w:cstheme="minorHAnsi"/>
          <w:color w:val="333333"/>
          <w:lang w:val="en-US"/>
        </w:rPr>
        <w:t>núm</w:t>
      </w:r>
      <w:proofErr w:type="spellEnd"/>
      <w:r w:rsidRPr="00691818">
        <w:rPr>
          <w:rFonts w:ascii="Verdana" w:hAnsi="Verdana" w:cstheme="minorHAnsi"/>
          <w:iCs/>
          <w:lang w:val="ca-ES"/>
        </w:rPr>
        <w:t xml:space="preserve"> 2, </w:t>
      </w:r>
      <w:proofErr w:type="spellStart"/>
      <w:r w:rsidRPr="00691818">
        <w:rPr>
          <w:rFonts w:ascii="Verdana" w:hAnsi="Verdana" w:cstheme="minorHAnsi"/>
          <w:iCs/>
          <w:lang w:val="ca-ES"/>
        </w:rPr>
        <w:t>pp</w:t>
      </w:r>
      <w:proofErr w:type="spellEnd"/>
      <w:r w:rsidRPr="00691818">
        <w:rPr>
          <w:rFonts w:ascii="Verdana" w:hAnsi="Verdana" w:cstheme="minorHAnsi"/>
          <w:iCs/>
          <w:lang w:val="ca-ES"/>
        </w:rPr>
        <w:t>. 7-16.</w:t>
      </w:r>
    </w:p>
    <w:p w:rsidR="00691818" w:rsidRPr="00691818" w:rsidRDefault="00691818" w:rsidP="00691818">
      <w:pPr>
        <w:autoSpaceDE w:val="0"/>
        <w:autoSpaceDN w:val="0"/>
        <w:adjustRightInd w:val="0"/>
        <w:spacing w:line="23" w:lineRule="atLeast"/>
        <w:rPr>
          <w:rFonts w:ascii="Verdana" w:hAnsi="Verdana"/>
          <w:lang w:val="en-US"/>
        </w:rPr>
      </w:pPr>
      <w:r w:rsidRPr="00691818">
        <w:rPr>
          <w:rFonts w:ascii="Verdana" w:hAnsi="Verdana"/>
          <w:lang w:val="en-US"/>
        </w:rPr>
        <w:t xml:space="preserve">Evans, J.; Gibb, E. (2009): </w:t>
      </w:r>
      <w:r w:rsidRPr="00691818">
        <w:rPr>
          <w:rFonts w:ascii="Verdana" w:hAnsi="Verdana" w:cs="TradeGothicLTStd-Bold"/>
          <w:bCs/>
          <w:i/>
          <w:lang w:val="en-US"/>
        </w:rPr>
        <w:t>Moving from Precarious Employment to Decent Work</w:t>
      </w:r>
      <w:r w:rsidRPr="00691818">
        <w:rPr>
          <w:rFonts w:ascii="Verdana" w:hAnsi="Verdana" w:cs="TradeGothicLTStd-Bold"/>
          <w:bCs/>
          <w:lang w:val="en-US"/>
        </w:rPr>
        <w:t>. Geneva: OIT.</w:t>
      </w:r>
    </w:p>
    <w:p w:rsidR="00691818" w:rsidRPr="00691818" w:rsidRDefault="00691818" w:rsidP="00691818">
      <w:pPr>
        <w:spacing w:line="23" w:lineRule="atLeast"/>
        <w:jc w:val="both"/>
        <w:rPr>
          <w:rFonts w:ascii="Verdana" w:hAnsi="Verdana"/>
          <w:lang w:val="en-US"/>
        </w:rPr>
      </w:pPr>
      <w:r w:rsidRPr="00691818">
        <w:rPr>
          <w:rFonts w:ascii="Verdana" w:hAnsi="Verdana"/>
          <w:lang w:val="en-US"/>
        </w:rPr>
        <w:t xml:space="preserve">EIRO (2007): </w:t>
      </w:r>
      <w:r w:rsidRPr="00691818">
        <w:rPr>
          <w:rFonts w:ascii="Verdana" w:hAnsi="Verdana"/>
          <w:i/>
          <w:lang w:val="en-US"/>
        </w:rPr>
        <w:t>Industrial relations in the EU, Japan, US and the other global economies, 2005-2006</w:t>
      </w:r>
      <w:r w:rsidRPr="00691818">
        <w:rPr>
          <w:rFonts w:ascii="Verdana" w:hAnsi="Verdana"/>
          <w:lang w:val="en-US"/>
        </w:rPr>
        <w:t>. Dublin.</w:t>
      </w:r>
    </w:p>
    <w:p w:rsidR="00691818" w:rsidRPr="00691818" w:rsidRDefault="00691818" w:rsidP="00691818">
      <w:pPr>
        <w:spacing w:line="23" w:lineRule="atLeast"/>
        <w:jc w:val="both"/>
        <w:rPr>
          <w:rFonts w:ascii="Verdana" w:hAnsi="Verdana" w:cstheme="minorHAnsi"/>
          <w:lang w:val="en-US"/>
        </w:rPr>
      </w:pPr>
      <w:proofErr w:type="spellStart"/>
      <w:r w:rsidRPr="00691818">
        <w:rPr>
          <w:rFonts w:ascii="Verdana" w:hAnsi="Verdana" w:cstheme="minorHAnsi"/>
          <w:lang w:val="en-US"/>
        </w:rPr>
        <w:t>Fairbrother</w:t>
      </w:r>
      <w:proofErr w:type="spellEnd"/>
      <w:r w:rsidRPr="00691818">
        <w:rPr>
          <w:rFonts w:ascii="Verdana" w:hAnsi="Verdana" w:cstheme="minorHAnsi"/>
          <w:lang w:val="en-US"/>
        </w:rPr>
        <w:t xml:space="preserve">, P. (1986): “Union Democracy in Australia: accommodation and resistance”. </w:t>
      </w:r>
      <w:proofErr w:type="spellStart"/>
      <w:r w:rsidRPr="00691818">
        <w:rPr>
          <w:rFonts w:ascii="Verdana" w:hAnsi="Verdana" w:cstheme="minorHAnsi"/>
          <w:lang w:val="en-US"/>
        </w:rPr>
        <w:t>En</w:t>
      </w:r>
      <w:proofErr w:type="spellEnd"/>
      <w:r w:rsidRPr="00691818">
        <w:rPr>
          <w:rFonts w:ascii="Verdana" w:hAnsi="Verdana" w:cstheme="minorHAnsi"/>
          <w:lang w:val="en-US"/>
        </w:rPr>
        <w:t xml:space="preserve"> </w:t>
      </w:r>
      <w:r w:rsidRPr="00691818">
        <w:rPr>
          <w:rFonts w:ascii="Verdana" w:hAnsi="Verdana" w:cstheme="minorHAnsi"/>
          <w:i/>
          <w:lang w:val="en-US"/>
        </w:rPr>
        <w:t>Journal of Industrial Relations</w:t>
      </w:r>
      <w:r w:rsidRPr="00691818">
        <w:rPr>
          <w:rFonts w:ascii="Verdana" w:hAnsi="Verdana" w:cstheme="minorHAnsi"/>
          <w:lang w:val="en-US"/>
        </w:rPr>
        <w:t xml:space="preserve">, vol. 28, </w:t>
      </w:r>
      <w:proofErr w:type="spellStart"/>
      <w:r w:rsidRPr="00691818">
        <w:rPr>
          <w:rFonts w:ascii="Verdana" w:hAnsi="Verdana" w:cstheme="minorHAnsi"/>
          <w:lang w:val="en-US"/>
        </w:rPr>
        <w:t>núm</w:t>
      </w:r>
      <w:proofErr w:type="spellEnd"/>
      <w:r w:rsidRPr="00691818">
        <w:rPr>
          <w:rFonts w:ascii="Verdana" w:hAnsi="Verdana" w:cstheme="minorHAnsi"/>
          <w:lang w:val="en-US"/>
        </w:rPr>
        <w:t>. 2, pp. 171-190.</w:t>
      </w:r>
    </w:p>
    <w:p w:rsidR="00691818" w:rsidRPr="00691818" w:rsidRDefault="00691818" w:rsidP="00691818">
      <w:pPr>
        <w:spacing w:line="23" w:lineRule="atLeast"/>
        <w:jc w:val="both"/>
        <w:rPr>
          <w:rFonts w:ascii="Verdana" w:hAnsi="Verdana" w:cstheme="minorHAnsi"/>
          <w:lang w:val="en-US"/>
        </w:rPr>
      </w:pPr>
      <w:r w:rsidRPr="00691818">
        <w:rPr>
          <w:rFonts w:ascii="Verdana" w:hAnsi="Verdana" w:cstheme="minorHAnsi"/>
          <w:lang w:val="en-GB"/>
        </w:rPr>
        <w:t xml:space="preserve">Farber, H.S. (1989): “Trends in Worker Demand for Union Representation”. </w:t>
      </w:r>
      <w:proofErr w:type="spellStart"/>
      <w:r w:rsidRPr="00691818">
        <w:rPr>
          <w:rFonts w:ascii="Verdana" w:hAnsi="Verdana" w:cstheme="minorHAnsi"/>
          <w:lang w:val="en-GB"/>
        </w:rPr>
        <w:t>En</w:t>
      </w:r>
      <w:proofErr w:type="spellEnd"/>
      <w:r w:rsidRPr="00691818">
        <w:rPr>
          <w:rFonts w:ascii="Verdana" w:hAnsi="Verdana" w:cstheme="minorHAnsi"/>
          <w:lang w:val="en-GB"/>
        </w:rPr>
        <w:t xml:space="preserve"> </w:t>
      </w:r>
      <w:r w:rsidRPr="00691818">
        <w:rPr>
          <w:rFonts w:ascii="Verdana" w:hAnsi="Verdana" w:cstheme="minorHAnsi"/>
          <w:i/>
          <w:lang w:val="en-GB"/>
        </w:rPr>
        <w:t>The American Economic Review</w:t>
      </w:r>
      <w:r w:rsidRPr="00691818">
        <w:rPr>
          <w:rFonts w:ascii="Verdana" w:hAnsi="Verdana" w:cstheme="minorHAnsi"/>
          <w:lang w:val="en-GB"/>
        </w:rPr>
        <w:t xml:space="preserve">, vol. 79, </w:t>
      </w:r>
      <w:proofErr w:type="spellStart"/>
      <w:r w:rsidRPr="00691818">
        <w:rPr>
          <w:rFonts w:ascii="Verdana" w:hAnsi="Verdana" w:cstheme="minorHAnsi"/>
          <w:lang w:val="en-GB"/>
        </w:rPr>
        <w:t>núm</w:t>
      </w:r>
      <w:proofErr w:type="spellEnd"/>
      <w:r w:rsidRPr="00691818">
        <w:rPr>
          <w:rFonts w:ascii="Verdana" w:hAnsi="Verdana" w:cstheme="minorHAnsi"/>
          <w:lang w:val="en-GB"/>
        </w:rPr>
        <w:t>. 2, pp. 166-171.</w:t>
      </w:r>
    </w:p>
    <w:p w:rsidR="00691818" w:rsidRPr="00691818" w:rsidRDefault="00691818" w:rsidP="00691818">
      <w:pPr>
        <w:autoSpaceDE w:val="0"/>
        <w:autoSpaceDN w:val="0"/>
        <w:adjustRightInd w:val="0"/>
        <w:spacing w:line="23" w:lineRule="atLeast"/>
        <w:jc w:val="both"/>
        <w:rPr>
          <w:rFonts w:ascii="Verdana" w:hAnsi="Verdana" w:cstheme="minorHAnsi"/>
        </w:rPr>
      </w:pPr>
      <w:r w:rsidRPr="00691818">
        <w:rPr>
          <w:rFonts w:ascii="Verdana" w:hAnsi="Verdana" w:cstheme="minorHAnsi"/>
          <w:lang w:val="en-GB"/>
        </w:rPr>
        <w:t xml:space="preserve">Farber, H.S. (2001): ‘‘Union Success in Representation Elections: Why Does Unit Size Matter?’’. </w:t>
      </w:r>
      <w:r w:rsidRPr="00691818">
        <w:rPr>
          <w:rFonts w:ascii="Verdana" w:hAnsi="Verdana" w:cstheme="minorHAnsi"/>
        </w:rPr>
        <w:t xml:space="preserve">En </w:t>
      </w:r>
      <w:r w:rsidRPr="00691818">
        <w:rPr>
          <w:rFonts w:ascii="Verdana" w:hAnsi="Verdana" w:cstheme="minorHAnsi"/>
          <w:i/>
        </w:rPr>
        <w:t xml:space="preserve">Industrial and Labor </w:t>
      </w:r>
      <w:proofErr w:type="spellStart"/>
      <w:r w:rsidRPr="00691818">
        <w:rPr>
          <w:rFonts w:ascii="Verdana" w:hAnsi="Verdana" w:cstheme="minorHAnsi"/>
          <w:i/>
        </w:rPr>
        <w:t>Relations</w:t>
      </w:r>
      <w:proofErr w:type="spellEnd"/>
      <w:r w:rsidRPr="00691818">
        <w:rPr>
          <w:rFonts w:ascii="Verdana" w:hAnsi="Verdana" w:cstheme="minorHAnsi"/>
          <w:i/>
        </w:rPr>
        <w:t xml:space="preserve"> </w:t>
      </w:r>
      <w:proofErr w:type="spellStart"/>
      <w:r w:rsidRPr="00691818">
        <w:rPr>
          <w:rFonts w:ascii="Verdana" w:hAnsi="Verdana" w:cstheme="minorHAnsi"/>
          <w:i/>
        </w:rPr>
        <w:t>Review</w:t>
      </w:r>
      <w:proofErr w:type="spellEnd"/>
      <w:r w:rsidRPr="00691818">
        <w:rPr>
          <w:rFonts w:ascii="Verdana" w:hAnsi="Verdana" w:cstheme="minorHAnsi"/>
        </w:rPr>
        <w:t xml:space="preserve">, vol. 54, núm. 2, pp. 329–348. </w:t>
      </w:r>
    </w:p>
    <w:p w:rsidR="00691818" w:rsidRPr="00691818" w:rsidRDefault="00691818" w:rsidP="00691818">
      <w:pPr>
        <w:spacing w:line="23" w:lineRule="atLeast"/>
        <w:jc w:val="both"/>
        <w:rPr>
          <w:rFonts w:ascii="Verdana" w:hAnsi="Verdana" w:cstheme="minorHAnsi"/>
        </w:rPr>
      </w:pPr>
      <w:proofErr w:type="spellStart"/>
      <w:r w:rsidRPr="00691818">
        <w:rPr>
          <w:rFonts w:ascii="Verdana" w:hAnsi="Verdana" w:cs="Tisa"/>
          <w:color w:val="000000"/>
        </w:rPr>
        <w:t>Felgueroso</w:t>
      </w:r>
      <w:proofErr w:type="spellEnd"/>
      <w:r w:rsidRPr="00691818">
        <w:rPr>
          <w:rFonts w:ascii="Verdana" w:hAnsi="Verdana" w:cs="Tisa"/>
          <w:color w:val="000000"/>
        </w:rPr>
        <w:t xml:space="preserve">, F. (2010): </w:t>
      </w:r>
      <w:r w:rsidRPr="00691818">
        <w:rPr>
          <w:rFonts w:ascii="Verdana" w:hAnsi="Verdana" w:cs="Tisa-Ita"/>
          <w:i/>
          <w:color w:val="000000"/>
        </w:rPr>
        <w:t>Sindicatos para el siglo XXI</w:t>
      </w:r>
      <w:r w:rsidRPr="00691818">
        <w:rPr>
          <w:rFonts w:ascii="Verdana" w:hAnsi="Verdana" w:cs="Tisa-Ita"/>
          <w:color w:val="000000"/>
        </w:rPr>
        <w:t>. Madrid: FEDEA. En h</w:t>
      </w:r>
      <w:r w:rsidRPr="00691818">
        <w:rPr>
          <w:rFonts w:ascii="Verdana" w:hAnsi="Verdana" w:cs="Tisa"/>
          <w:color w:val="000000"/>
        </w:rPr>
        <w:t>ttp://www.fedeablogs.net/economia/?p=4435.</w:t>
      </w:r>
    </w:p>
    <w:p w:rsidR="00691818" w:rsidRPr="00691818" w:rsidRDefault="00691818" w:rsidP="00691818">
      <w:pPr>
        <w:spacing w:line="23" w:lineRule="atLeast"/>
        <w:jc w:val="both"/>
        <w:rPr>
          <w:rFonts w:ascii="Verdana" w:hAnsi="Verdana" w:cstheme="minorHAnsi"/>
          <w:lang w:val="en-US"/>
        </w:rPr>
      </w:pPr>
      <w:proofErr w:type="spellStart"/>
      <w:r w:rsidRPr="00691818">
        <w:rPr>
          <w:rFonts w:ascii="Verdana" w:hAnsi="Verdana" w:cstheme="minorHAnsi"/>
          <w:lang w:val="en-US"/>
        </w:rPr>
        <w:t>Fiorito</w:t>
      </w:r>
      <w:proofErr w:type="spellEnd"/>
      <w:r w:rsidRPr="00691818">
        <w:rPr>
          <w:rFonts w:ascii="Verdana" w:hAnsi="Verdana" w:cstheme="minorHAnsi"/>
          <w:lang w:val="en-US"/>
        </w:rPr>
        <w:t xml:space="preserve">, J.; </w:t>
      </w:r>
      <w:proofErr w:type="spellStart"/>
      <w:r w:rsidRPr="00691818">
        <w:rPr>
          <w:rFonts w:ascii="Verdana" w:hAnsi="Verdana" w:cstheme="minorHAnsi"/>
          <w:lang w:val="en-US"/>
        </w:rPr>
        <w:t>Jarley</w:t>
      </w:r>
      <w:proofErr w:type="spellEnd"/>
      <w:r w:rsidRPr="00691818">
        <w:rPr>
          <w:rFonts w:ascii="Verdana" w:hAnsi="Verdana" w:cstheme="minorHAnsi"/>
          <w:lang w:val="en-US"/>
        </w:rPr>
        <w:t>, P.; Delaney, J.T. (1995): “</w:t>
      </w:r>
      <w:r w:rsidRPr="00691818">
        <w:rPr>
          <w:rFonts w:ascii="Verdana" w:hAnsi="Verdana" w:cstheme="minorHAnsi"/>
          <w:bCs/>
          <w:lang w:val="en-US"/>
        </w:rPr>
        <w:t xml:space="preserve">National union effectiveness in organizing: Measures and influences”. </w:t>
      </w:r>
      <w:proofErr w:type="spellStart"/>
      <w:proofErr w:type="gramStart"/>
      <w:r w:rsidRPr="00691818">
        <w:rPr>
          <w:rFonts w:ascii="Verdana" w:hAnsi="Verdana" w:cstheme="minorHAnsi"/>
          <w:bCs/>
          <w:lang w:val="en-US"/>
        </w:rPr>
        <w:t>En</w:t>
      </w:r>
      <w:proofErr w:type="spellEnd"/>
      <w:r w:rsidRPr="00691818">
        <w:rPr>
          <w:rFonts w:ascii="Verdana" w:hAnsi="Verdana" w:cstheme="minorHAnsi"/>
          <w:bCs/>
          <w:lang w:val="en-US"/>
        </w:rPr>
        <w:t xml:space="preserve"> </w:t>
      </w:r>
      <w:r w:rsidRPr="00691818">
        <w:rPr>
          <w:rFonts w:ascii="Verdana" w:hAnsi="Verdana" w:cstheme="minorHAnsi"/>
          <w:i/>
          <w:iCs/>
          <w:lang w:val="en-US"/>
        </w:rPr>
        <w:t>Industrial and Labor Relations Review</w:t>
      </w:r>
      <w:r w:rsidRPr="00691818">
        <w:rPr>
          <w:rFonts w:ascii="Verdana" w:hAnsi="Verdana" w:cstheme="minorHAnsi"/>
          <w:iCs/>
          <w:lang w:val="en-US"/>
        </w:rPr>
        <w:t xml:space="preserve">, </w:t>
      </w:r>
      <w:r w:rsidRPr="00691818">
        <w:rPr>
          <w:rFonts w:ascii="Verdana" w:hAnsi="Verdana" w:cstheme="minorHAnsi"/>
          <w:lang w:val="en-US"/>
        </w:rPr>
        <w:t xml:space="preserve">vol. 48, </w:t>
      </w:r>
      <w:proofErr w:type="spellStart"/>
      <w:r w:rsidRPr="00691818">
        <w:rPr>
          <w:rFonts w:ascii="Verdana" w:hAnsi="Verdana" w:cstheme="minorHAnsi"/>
          <w:lang w:val="en-US"/>
        </w:rPr>
        <w:t>núm</w:t>
      </w:r>
      <w:proofErr w:type="spellEnd"/>
      <w:r w:rsidRPr="00691818">
        <w:rPr>
          <w:rFonts w:ascii="Verdana" w:hAnsi="Verdana" w:cstheme="minorHAnsi"/>
          <w:lang w:val="en-US"/>
        </w:rPr>
        <w:t>.</w:t>
      </w:r>
      <w:proofErr w:type="gramEnd"/>
      <w:r w:rsidRPr="00691818">
        <w:rPr>
          <w:rFonts w:ascii="Verdana" w:hAnsi="Verdana" w:cstheme="minorHAnsi"/>
          <w:lang w:val="en-US"/>
        </w:rPr>
        <w:t xml:space="preserve"> 4, pp. 613-635.</w:t>
      </w:r>
    </w:p>
    <w:p w:rsidR="00691818" w:rsidRPr="00691818" w:rsidRDefault="00691818" w:rsidP="00691818">
      <w:pPr>
        <w:spacing w:line="23" w:lineRule="atLeast"/>
        <w:jc w:val="both"/>
        <w:rPr>
          <w:rFonts w:ascii="Verdana" w:hAnsi="Verdana"/>
          <w:lang w:val="en-US"/>
        </w:rPr>
      </w:pPr>
      <w:r w:rsidRPr="00691818">
        <w:rPr>
          <w:rFonts w:ascii="Verdana" w:hAnsi="Verdana"/>
          <w:lang w:val="en-US"/>
        </w:rPr>
        <w:t xml:space="preserve">Fine, J. (2005): “Community Unions Revival of the American Labor Movement”. </w:t>
      </w:r>
      <w:proofErr w:type="spellStart"/>
      <w:proofErr w:type="gramStart"/>
      <w:r w:rsidRPr="00691818">
        <w:rPr>
          <w:rFonts w:ascii="Verdana" w:hAnsi="Verdana"/>
          <w:lang w:val="en-US"/>
        </w:rPr>
        <w:t>En</w:t>
      </w:r>
      <w:proofErr w:type="spellEnd"/>
      <w:r w:rsidRPr="00691818">
        <w:rPr>
          <w:rFonts w:ascii="Verdana" w:hAnsi="Verdana"/>
          <w:lang w:val="en-US"/>
        </w:rPr>
        <w:t xml:space="preserve"> </w:t>
      </w:r>
      <w:r w:rsidRPr="00691818">
        <w:rPr>
          <w:rFonts w:ascii="Verdana" w:hAnsi="Verdana"/>
          <w:i/>
          <w:lang w:val="en-US"/>
        </w:rPr>
        <w:t>Politics &amp; Society</w:t>
      </w:r>
      <w:r w:rsidRPr="00691818">
        <w:rPr>
          <w:rFonts w:ascii="Verdana" w:hAnsi="Verdana"/>
          <w:lang w:val="en-US"/>
        </w:rPr>
        <w:t xml:space="preserve">, vol. 33, </w:t>
      </w:r>
      <w:proofErr w:type="spellStart"/>
      <w:r w:rsidRPr="00691818">
        <w:rPr>
          <w:rFonts w:ascii="Verdana" w:hAnsi="Verdana"/>
          <w:lang w:val="en-US"/>
        </w:rPr>
        <w:t>núm</w:t>
      </w:r>
      <w:proofErr w:type="spellEnd"/>
      <w:r w:rsidRPr="00691818">
        <w:rPr>
          <w:rFonts w:ascii="Verdana" w:hAnsi="Verdana"/>
          <w:lang w:val="en-US"/>
        </w:rPr>
        <w:t>.</w:t>
      </w:r>
      <w:proofErr w:type="gramEnd"/>
      <w:r w:rsidRPr="00691818">
        <w:rPr>
          <w:rFonts w:ascii="Verdana" w:hAnsi="Verdana"/>
          <w:lang w:val="en-US"/>
        </w:rPr>
        <w:t xml:space="preserve"> 1, pp. 153-199.</w:t>
      </w:r>
    </w:p>
    <w:p w:rsidR="00691818" w:rsidRPr="00691818" w:rsidRDefault="00691818" w:rsidP="00691818">
      <w:pPr>
        <w:shd w:val="clear" w:color="auto" w:fill="FFFFFF"/>
        <w:spacing w:line="23" w:lineRule="atLeast"/>
        <w:jc w:val="both"/>
        <w:textAlignment w:val="baseline"/>
        <w:rPr>
          <w:rFonts w:ascii="Verdana" w:hAnsi="Verdana" w:cstheme="minorHAnsi"/>
          <w:lang w:val="en-US"/>
        </w:rPr>
      </w:pPr>
      <w:r w:rsidRPr="00691818">
        <w:rPr>
          <w:rFonts w:ascii="Verdana" w:hAnsi="Verdana" w:cstheme="minorHAnsi"/>
          <w:bdr w:val="none" w:sz="0" w:space="0" w:color="auto" w:frame="1"/>
          <w:lang w:val="en-US"/>
        </w:rPr>
        <w:t>Flood</w:t>
      </w:r>
      <w:r w:rsidRPr="00691818">
        <w:rPr>
          <w:rFonts w:ascii="Verdana" w:hAnsi="Verdana"/>
          <w:lang w:val="en-US"/>
        </w:rPr>
        <w:t>, P.;</w:t>
      </w:r>
      <w:r w:rsidRPr="00691818">
        <w:rPr>
          <w:rFonts w:ascii="Verdana" w:hAnsi="Verdana" w:cstheme="minorHAnsi"/>
          <w:lang w:val="en-US"/>
        </w:rPr>
        <w:t> </w:t>
      </w:r>
      <w:r w:rsidRPr="00691818">
        <w:rPr>
          <w:rFonts w:ascii="Verdana" w:hAnsi="Verdana"/>
          <w:lang w:val="en-US"/>
        </w:rPr>
        <w:t>Turner, T.</w:t>
      </w:r>
      <w:r w:rsidRPr="00691818">
        <w:rPr>
          <w:rFonts w:ascii="Verdana" w:hAnsi="Verdana"/>
          <w:lang w:val="en-GB"/>
        </w:rPr>
        <w:t xml:space="preserve"> (1996): “</w:t>
      </w:r>
      <w:r w:rsidRPr="00691818">
        <w:rPr>
          <w:rFonts w:ascii="Verdana" w:hAnsi="Verdana" w:cstheme="minorHAnsi"/>
          <w:bCs/>
          <w:lang w:val="en-US"/>
        </w:rPr>
        <w:t xml:space="preserve">Trade union activism: The characteristics associated with becoming and remaining a shop steward”. </w:t>
      </w:r>
      <w:proofErr w:type="spellStart"/>
      <w:proofErr w:type="gramStart"/>
      <w:r w:rsidRPr="00691818">
        <w:rPr>
          <w:rFonts w:ascii="Verdana" w:hAnsi="Verdana" w:cstheme="minorHAnsi"/>
          <w:bCs/>
          <w:lang w:val="en-US"/>
        </w:rPr>
        <w:t>En</w:t>
      </w:r>
      <w:proofErr w:type="spellEnd"/>
      <w:r w:rsidRPr="00691818">
        <w:rPr>
          <w:rFonts w:ascii="Verdana" w:hAnsi="Verdana" w:cstheme="minorHAnsi"/>
          <w:bCs/>
          <w:lang w:val="en-US"/>
        </w:rPr>
        <w:t xml:space="preserve"> </w:t>
      </w:r>
      <w:r w:rsidRPr="00691818">
        <w:rPr>
          <w:rFonts w:ascii="Verdana" w:hAnsi="Verdana" w:cstheme="minorHAnsi"/>
          <w:i/>
          <w:bdr w:val="none" w:sz="0" w:space="0" w:color="auto" w:frame="1"/>
          <w:lang w:val="en-GB"/>
        </w:rPr>
        <w:t>Employee Responsibilities and Rights Journal,</w:t>
      </w:r>
      <w:r w:rsidRPr="00691818">
        <w:rPr>
          <w:rFonts w:ascii="Verdana" w:hAnsi="Verdana" w:cstheme="minorHAnsi"/>
          <w:caps/>
          <w:lang w:val="en-US"/>
        </w:rPr>
        <w:t xml:space="preserve"> </w:t>
      </w:r>
      <w:r w:rsidRPr="00691818">
        <w:rPr>
          <w:rFonts w:ascii="Verdana" w:hAnsi="Verdana" w:cstheme="minorHAnsi"/>
          <w:bdr w:val="none" w:sz="0" w:space="0" w:color="auto" w:frame="1"/>
          <w:lang w:val="en-GB"/>
        </w:rPr>
        <w:t xml:space="preserve">vol. 9, </w:t>
      </w:r>
      <w:proofErr w:type="spellStart"/>
      <w:r w:rsidRPr="00691818">
        <w:rPr>
          <w:rFonts w:ascii="Verdana" w:hAnsi="Verdana" w:cstheme="minorHAnsi"/>
          <w:bdr w:val="none" w:sz="0" w:space="0" w:color="auto" w:frame="1"/>
          <w:lang w:val="en-GB"/>
        </w:rPr>
        <w:t>núm</w:t>
      </w:r>
      <w:proofErr w:type="spellEnd"/>
      <w:r w:rsidRPr="00691818">
        <w:rPr>
          <w:rFonts w:ascii="Verdana" w:hAnsi="Verdana" w:cstheme="minorHAnsi"/>
          <w:bdr w:val="none" w:sz="0" w:space="0" w:color="auto" w:frame="1"/>
          <w:lang w:val="en-GB"/>
        </w:rPr>
        <w:t>.</w:t>
      </w:r>
      <w:proofErr w:type="gramEnd"/>
      <w:r w:rsidRPr="00691818">
        <w:rPr>
          <w:rFonts w:ascii="Verdana" w:hAnsi="Verdana" w:cstheme="minorHAnsi"/>
          <w:bdr w:val="none" w:sz="0" w:space="0" w:color="auto" w:frame="1"/>
          <w:lang w:val="en-GB"/>
        </w:rPr>
        <w:t xml:space="preserve"> 2</w:t>
      </w:r>
      <w:r w:rsidRPr="00691818">
        <w:rPr>
          <w:rFonts w:ascii="Verdana" w:hAnsi="Verdana" w:cstheme="minorHAnsi"/>
          <w:lang w:val="en-US"/>
        </w:rPr>
        <w:t>, pp. </w:t>
      </w:r>
      <w:r w:rsidRPr="00691818">
        <w:rPr>
          <w:rFonts w:ascii="Verdana" w:hAnsi="Verdana" w:cstheme="minorHAnsi"/>
          <w:bdr w:val="none" w:sz="0" w:space="0" w:color="auto" w:frame="1"/>
          <w:lang w:val="en-US"/>
        </w:rPr>
        <w:t>103-117.</w:t>
      </w:r>
    </w:p>
    <w:p w:rsidR="00691818" w:rsidRPr="00691818" w:rsidRDefault="00691818" w:rsidP="00691818">
      <w:pPr>
        <w:autoSpaceDE w:val="0"/>
        <w:autoSpaceDN w:val="0"/>
        <w:adjustRightInd w:val="0"/>
        <w:spacing w:line="23" w:lineRule="atLeast"/>
        <w:jc w:val="both"/>
        <w:rPr>
          <w:rFonts w:ascii="Verdana" w:hAnsi="Verdana" w:cs="AdvTT5843c571"/>
          <w:lang w:val="en-US"/>
        </w:rPr>
      </w:pPr>
      <w:r w:rsidRPr="00691818">
        <w:rPr>
          <w:rFonts w:ascii="Verdana" w:hAnsi="Verdana" w:cs="AdvTT5843c571"/>
          <w:lang w:val="en-US"/>
        </w:rPr>
        <w:t xml:space="preserve">Freeman, R.B.; </w:t>
      </w:r>
      <w:proofErr w:type="spellStart"/>
      <w:r w:rsidRPr="00691818">
        <w:rPr>
          <w:rFonts w:ascii="Verdana" w:hAnsi="Verdana" w:cs="AdvTT5843c571"/>
          <w:lang w:val="en-US"/>
        </w:rPr>
        <w:t>Medoff</w:t>
      </w:r>
      <w:proofErr w:type="spellEnd"/>
      <w:r w:rsidRPr="00691818">
        <w:rPr>
          <w:rFonts w:ascii="Verdana" w:hAnsi="Verdana" w:cs="AdvTT5843c571"/>
          <w:lang w:val="en-US"/>
        </w:rPr>
        <w:t xml:space="preserve">, J.L. (1984): </w:t>
      </w:r>
      <w:r w:rsidRPr="00691818">
        <w:rPr>
          <w:rFonts w:ascii="Verdana" w:hAnsi="Verdana" w:cs="AdvTT5843c571"/>
          <w:i/>
          <w:lang w:val="en-US"/>
        </w:rPr>
        <w:t>What Do Unions Do</w:t>
      </w:r>
      <w:proofErr w:type="gramStart"/>
      <w:r w:rsidRPr="00691818">
        <w:rPr>
          <w:rFonts w:ascii="Verdana" w:hAnsi="Verdana" w:cs="AdvTT5843c571"/>
          <w:i/>
          <w:lang w:val="en-US"/>
        </w:rPr>
        <w:t>?.</w:t>
      </w:r>
      <w:proofErr w:type="gramEnd"/>
      <w:r w:rsidRPr="00691818">
        <w:rPr>
          <w:rFonts w:ascii="Verdana" w:hAnsi="Verdana" w:cs="AdvTT5843c571"/>
          <w:lang w:val="en-US"/>
        </w:rPr>
        <w:t xml:space="preserve"> New York: Basic Books.</w:t>
      </w:r>
    </w:p>
    <w:p w:rsidR="00691818" w:rsidRPr="00691818" w:rsidRDefault="00691818" w:rsidP="00691818">
      <w:pPr>
        <w:autoSpaceDE w:val="0"/>
        <w:autoSpaceDN w:val="0"/>
        <w:adjustRightInd w:val="0"/>
        <w:spacing w:line="23" w:lineRule="atLeast"/>
        <w:jc w:val="both"/>
        <w:rPr>
          <w:rFonts w:ascii="Verdana" w:hAnsi="Verdana" w:cstheme="minorHAnsi"/>
          <w:lang w:val="en-US"/>
        </w:rPr>
      </w:pPr>
      <w:r w:rsidRPr="00691818">
        <w:rPr>
          <w:rFonts w:ascii="Verdana" w:hAnsi="Verdana" w:cs="AdvTT5843c571"/>
          <w:lang w:val="en-US"/>
        </w:rPr>
        <w:t xml:space="preserve">Freeman, R. (2007): “Do Workers Still Want Unions? </w:t>
      </w:r>
      <w:proofErr w:type="gramStart"/>
      <w:r w:rsidRPr="00691818">
        <w:rPr>
          <w:rFonts w:ascii="Verdana" w:hAnsi="Verdana" w:cs="AdvTT5843c571"/>
          <w:lang w:val="en-US"/>
        </w:rPr>
        <w:t>More than Ever”.</w:t>
      </w:r>
      <w:proofErr w:type="gramEnd"/>
      <w:r w:rsidRPr="00691818">
        <w:rPr>
          <w:rFonts w:ascii="Verdana" w:hAnsi="Verdana" w:cs="AdvTT5843c571"/>
          <w:lang w:val="en-US"/>
        </w:rPr>
        <w:t xml:space="preserve"> </w:t>
      </w:r>
      <w:proofErr w:type="gramStart"/>
      <w:r w:rsidRPr="00691818">
        <w:rPr>
          <w:rFonts w:ascii="Verdana" w:hAnsi="Verdana" w:cs="AdvTT5843c571"/>
          <w:lang w:val="en-US"/>
        </w:rPr>
        <w:t>EPI Briefing Paper n. 182.</w:t>
      </w:r>
      <w:proofErr w:type="gramEnd"/>
      <w:r w:rsidRPr="00691818">
        <w:rPr>
          <w:rFonts w:ascii="Verdana" w:hAnsi="Verdana" w:cs="AdvTT5843c571"/>
          <w:lang w:val="en-US"/>
        </w:rPr>
        <w:t xml:space="preserve"> Washington, DC: Economic Policy Institute, </w:t>
      </w:r>
      <w:r w:rsidRPr="00691818">
        <w:rPr>
          <w:rFonts w:ascii="Verdana" w:hAnsi="Verdana" w:cs="AdvP4A9298"/>
          <w:lang w:val="en-US"/>
        </w:rPr>
        <w:t>American Workplace</w:t>
      </w:r>
      <w:r w:rsidRPr="00691818">
        <w:rPr>
          <w:rFonts w:ascii="Verdana" w:hAnsi="Verdana" w:cs="AdvP4A967D"/>
          <w:lang w:val="en-US"/>
        </w:rPr>
        <w:t>.</w:t>
      </w:r>
    </w:p>
    <w:p w:rsidR="00691818" w:rsidRPr="00691818" w:rsidRDefault="00691818" w:rsidP="00691818">
      <w:pPr>
        <w:spacing w:line="23" w:lineRule="atLeast"/>
        <w:jc w:val="both"/>
        <w:rPr>
          <w:rFonts w:ascii="Verdana" w:hAnsi="Verdana" w:cstheme="minorHAnsi"/>
          <w:shd w:val="clear" w:color="auto" w:fill="FFFFFF"/>
          <w:lang w:val="en-GB"/>
        </w:rPr>
      </w:pPr>
      <w:proofErr w:type="spellStart"/>
      <w:r w:rsidRPr="00691818">
        <w:rPr>
          <w:rFonts w:ascii="Verdana" w:hAnsi="Verdana" w:cstheme="minorHAnsi"/>
          <w:shd w:val="clear" w:color="auto" w:fill="FFFFFF"/>
          <w:lang w:val="en-US"/>
        </w:rPr>
        <w:lastRenderedPageBreak/>
        <w:t>Gahan</w:t>
      </w:r>
      <w:proofErr w:type="spellEnd"/>
      <w:r w:rsidRPr="00691818">
        <w:rPr>
          <w:rFonts w:ascii="Verdana" w:hAnsi="Verdana" w:cstheme="minorHAnsi"/>
          <w:shd w:val="clear" w:color="auto" w:fill="FFFFFF"/>
          <w:lang w:val="en-US"/>
        </w:rPr>
        <w:t xml:space="preserve">, P. (2012): “’Voice within Voice’: Members’ Voice Responses to Dissatisfaction with Their Union”. </w:t>
      </w:r>
      <w:proofErr w:type="spellStart"/>
      <w:proofErr w:type="gramStart"/>
      <w:r w:rsidRPr="00691818">
        <w:rPr>
          <w:rFonts w:ascii="Verdana" w:hAnsi="Verdana" w:cstheme="minorHAnsi"/>
          <w:shd w:val="clear" w:color="auto" w:fill="FFFFFF"/>
          <w:lang w:val="en-US"/>
        </w:rPr>
        <w:t>En</w:t>
      </w:r>
      <w:proofErr w:type="spellEnd"/>
      <w:r w:rsidRPr="00691818">
        <w:rPr>
          <w:rFonts w:ascii="Verdana" w:hAnsi="Verdana" w:cstheme="minorHAnsi"/>
          <w:shd w:val="clear" w:color="auto" w:fill="FFFFFF"/>
          <w:lang w:val="en-US"/>
        </w:rPr>
        <w:t xml:space="preserve"> </w:t>
      </w:r>
      <w:r w:rsidRPr="00691818">
        <w:rPr>
          <w:rFonts w:ascii="Verdana" w:hAnsi="Verdana" w:cstheme="minorHAnsi"/>
          <w:i/>
          <w:shd w:val="clear" w:color="auto" w:fill="FFFFFF"/>
          <w:lang w:val="en-GB"/>
        </w:rPr>
        <w:t>Industrial Relations</w:t>
      </w:r>
      <w:r w:rsidRPr="00691818">
        <w:rPr>
          <w:rFonts w:ascii="Verdana" w:hAnsi="Verdana" w:cstheme="minorHAnsi"/>
          <w:shd w:val="clear" w:color="auto" w:fill="FFFFFF"/>
          <w:lang w:val="en-GB"/>
        </w:rPr>
        <w:t xml:space="preserve">, vol. 51, </w:t>
      </w:r>
      <w:proofErr w:type="spellStart"/>
      <w:r w:rsidRPr="00691818">
        <w:rPr>
          <w:rFonts w:ascii="Verdana" w:hAnsi="Verdana" w:cstheme="minorHAnsi"/>
          <w:shd w:val="clear" w:color="auto" w:fill="FFFFFF"/>
          <w:lang w:val="en-GB"/>
        </w:rPr>
        <w:t>núm</w:t>
      </w:r>
      <w:proofErr w:type="spellEnd"/>
      <w:r w:rsidRPr="00691818">
        <w:rPr>
          <w:rFonts w:ascii="Verdana" w:hAnsi="Verdana" w:cstheme="minorHAnsi"/>
          <w:shd w:val="clear" w:color="auto" w:fill="FFFFFF"/>
          <w:lang w:val="en-GB"/>
        </w:rPr>
        <w:t>.</w:t>
      </w:r>
      <w:proofErr w:type="gramEnd"/>
      <w:r w:rsidRPr="00691818">
        <w:rPr>
          <w:rFonts w:ascii="Verdana" w:hAnsi="Verdana" w:cstheme="minorHAnsi"/>
          <w:shd w:val="clear" w:color="auto" w:fill="FFFFFF"/>
          <w:lang w:val="en-GB"/>
        </w:rPr>
        <w:t xml:space="preserve"> 1, pp. 29–56.</w:t>
      </w:r>
    </w:p>
    <w:p w:rsidR="00691818" w:rsidRPr="00691818" w:rsidRDefault="00691818" w:rsidP="00691818">
      <w:pPr>
        <w:spacing w:line="23" w:lineRule="atLeast"/>
        <w:jc w:val="both"/>
        <w:rPr>
          <w:rFonts w:ascii="Verdana" w:hAnsi="Verdana"/>
          <w:lang w:val="en-US"/>
        </w:rPr>
      </w:pPr>
      <w:r w:rsidRPr="00691818">
        <w:rPr>
          <w:rFonts w:ascii="Verdana" w:hAnsi="Verdana"/>
          <w:lang w:val="en-US"/>
        </w:rPr>
        <w:t xml:space="preserve">Gallagher, D.G.; Clark, P.F. (1989): “Research on Union Commitment: Implications for Labor”. </w:t>
      </w:r>
      <w:r w:rsidRPr="00691818">
        <w:rPr>
          <w:rFonts w:ascii="Verdana" w:hAnsi="Verdana"/>
          <w:i/>
          <w:lang w:val="en-US"/>
        </w:rPr>
        <w:t>Labor Studies Journal</w:t>
      </w:r>
      <w:r w:rsidRPr="00691818">
        <w:rPr>
          <w:rFonts w:ascii="Verdana" w:hAnsi="Verdana"/>
          <w:lang w:val="en-US"/>
        </w:rPr>
        <w:t xml:space="preserve">, vol. 14, </w:t>
      </w:r>
      <w:proofErr w:type="spellStart"/>
      <w:r w:rsidRPr="00691818">
        <w:rPr>
          <w:rFonts w:ascii="Verdana" w:hAnsi="Verdana"/>
          <w:lang w:val="en-US"/>
        </w:rPr>
        <w:t>núm</w:t>
      </w:r>
      <w:proofErr w:type="spellEnd"/>
      <w:r w:rsidRPr="00691818">
        <w:rPr>
          <w:rFonts w:ascii="Verdana" w:hAnsi="Verdana"/>
          <w:lang w:val="en-US"/>
        </w:rPr>
        <w:t>. 1, pp. 52-71.</w:t>
      </w:r>
    </w:p>
    <w:p w:rsidR="00691818" w:rsidRPr="00691818" w:rsidRDefault="00691818" w:rsidP="00691818">
      <w:pPr>
        <w:spacing w:line="23" w:lineRule="atLeast"/>
        <w:jc w:val="both"/>
        <w:rPr>
          <w:rFonts w:ascii="Verdana" w:hAnsi="Verdana" w:cstheme="minorHAnsi"/>
          <w:lang w:val="en-US"/>
        </w:rPr>
      </w:pPr>
      <w:r w:rsidRPr="00691818">
        <w:rPr>
          <w:rFonts w:ascii="Verdana" w:hAnsi="Verdana" w:cstheme="minorHAnsi"/>
          <w:lang w:val="en-US"/>
        </w:rPr>
        <w:t xml:space="preserve">Godard, J.; </w:t>
      </w:r>
      <w:proofErr w:type="spellStart"/>
      <w:r w:rsidRPr="00691818">
        <w:rPr>
          <w:rFonts w:ascii="Verdana" w:hAnsi="Verdana" w:cstheme="minorHAnsi"/>
          <w:lang w:val="en-US"/>
        </w:rPr>
        <w:t>Frege</w:t>
      </w:r>
      <w:proofErr w:type="spellEnd"/>
      <w:r w:rsidRPr="00691818">
        <w:rPr>
          <w:rFonts w:ascii="Verdana" w:hAnsi="Verdana" w:cstheme="minorHAnsi"/>
          <w:lang w:val="en-US"/>
        </w:rPr>
        <w:t xml:space="preserve">, C. (2010): “Union Decline, Alternative Forms of </w:t>
      </w:r>
      <w:proofErr w:type="gramStart"/>
      <w:r w:rsidRPr="00691818">
        <w:rPr>
          <w:rFonts w:ascii="Verdana" w:hAnsi="Verdana" w:cstheme="minorHAnsi"/>
          <w:lang w:val="en-US"/>
        </w:rPr>
        <w:t>Representation,</w:t>
      </w:r>
      <w:proofErr w:type="gramEnd"/>
      <w:r w:rsidRPr="00691818">
        <w:rPr>
          <w:rFonts w:ascii="Verdana" w:hAnsi="Verdana" w:cstheme="minorHAnsi"/>
          <w:lang w:val="en-US"/>
        </w:rPr>
        <w:t xml:space="preserve"> and Workplace Authority Relations in the United States”. </w:t>
      </w:r>
      <w:proofErr w:type="spellStart"/>
      <w:r w:rsidRPr="00691818">
        <w:rPr>
          <w:rFonts w:ascii="Verdana" w:hAnsi="Verdana" w:cstheme="minorHAnsi"/>
          <w:lang w:val="en-US"/>
        </w:rPr>
        <w:t>En</w:t>
      </w:r>
      <w:proofErr w:type="spellEnd"/>
      <w:r w:rsidRPr="00691818">
        <w:rPr>
          <w:rFonts w:ascii="Verdana" w:hAnsi="Verdana" w:cstheme="minorHAnsi"/>
          <w:lang w:val="en-US"/>
        </w:rPr>
        <w:t xml:space="preserve"> </w:t>
      </w:r>
      <w:r w:rsidRPr="00691818">
        <w:rPr>
          <w:rFonts w:ascii="Verdana" w:hAnsi="Verdana" w:cstheme="minorHAnsi"/>
          <w:i/>
          <w:lang w:val="en-US"/>
        </w:rPr>
        <w:t>Working Paper</w:t>
      </w:r>
      <w:r w:rsidRPr="00691818">
        <w:rPr>
          <w:rFonts w:ascii="Verdana" w:hAnsi="Verdana" w:cstheme="minorHAnsi"/>
          <w:lang w:val="en-US"/>
        </w:rPr>
        <w:t>, pp. 1-37.</w:t>
      </w:r>
    </w:p>
    <w:p w:rsidR="00691818" w:rsidRPr="00691818" w:rsidRDefault="00691818" w:rsidP="00691818">
      <w:pPr>
        <w:spacing w:line="23" w:lineRule="atLeast"/>
        <w:jc w:val="both"/>
        <w:rPr>
          <w:rFonts w:ascii="Verdana" w:hAnsi="Verdana" w:cstheme="minorHAnsi"/>
          <w:lang w:val="en-GB"/>
        </w:rPr>
      </w:pPr>
      <w:r w:rsidRPr="00691818">
        <w:rPr>
          <w:rFonts w:ascii="Verdana" w:hAnsi="Verdana" w:cstheme="minorHAnsi"/>
          <w:lang w:val="en-GB"/>
        </w:rPr>
        <w:t xml:space="preserve">Godard, J. (2011): "Uncertainty and the Correlates of Union Voting Propensity: </w:t>
      </w:r>
      <w:proofErr w:type="gramStart"/>
      <w:r w:rsidRPr="00691818">
        <w:rPr>
          <w:rFonts w:ascii="Verdana" w:hAnsi="Verdana" w:cstheme="minorHAnsi"/>
          <w:lang w:val="en-GB"/>
        </w:rPr>
        <w:t>An</w:t>
      </w:r>
      <w:proofErr w:type="gramEnd"/>
      <w:r w:rsidRPr="00691818">
        <w:rPr>
          <w:rFonts w:ascii="Verdana" w:hAnsi="Verdana" w:cstheme="minorHAnsi"/>
          <w:lang w:val="en-GB"/>
        </w:rPr>
        <w:t xml:space="preserve"> Union Organizing Perspective". </w:t>
      </w:r>
      <w:proofErr w:type="spellStart"/>
      <w:proofErr w:type="gramStart"/>
      <w:r w:rsidRPr="00691818">
        <w:rPr>
          <w:rFonts w:ascii="Verdana" w:hAnsi="Verdana" w:cstheme="minorHAnsi"/>
          <w:lang w:val="en-GB"/>
        </w:rPr>
        <w:t>En</w:t>
      </w:r>
      <w:proofErr w:type="spellEnd"/>
      <w:r w:rsidRPr="00691818">
        <w:rPr>
          <w:rFonts w:ascii="Verdana" w:hAnsi="Verdana" w:cstheme="minorHAnsi"/>
          <w:lang w:val="en-GB"/>
        </w:rPr>
        <w:t xml:space="preserve"> </w:t>
      </w:r>
      <w:r w:rsidRPr="00691818">
        <w:rPr>
          <w:rFonts w:ascii="Verdana" w:hAnsi="Verdana" w:cstheme="minorHAnsi"/>
          <w:i/>
          <w:iCs/>
          <w:lang w:val="en-GB"/>
        </w:rPr>
        <w:t>Industrial Relations</w:t>
      </w:r>
      <w:r w:rsidRPr="00691818">
        <w:rPr>
          <w:rFonts w:ascii="Verdana" w:hAnsi="Verdana" w:cstheme="minorHAnsi"/>
          <w:iCs/>
          <w:lang w:val="en-GB"/>
        </w:rPr>
        <w:t xml:space="preserve">, </w:t>
      </w:r>
      <w:r w:rsidRPr="00691818">
        <w:rPr>
          <w:rFonts w:ascii="Verdana" w:hAnsi="Verdana" w:cstheme="minorHAnsi"/>
          <w:lang w:val="en-GB"/>
        </w:rPr>
        <w:t xml:space="preserve">vol. 50, </w:t>
      </w:r>
      <w:proofErr w:type="spellStart"/>
      <w:r w:rsidRPr="00691818">
        <w:rPr>
          <w:rFonts w:ascii="Verdana" w:hAnsi="Verdana" w:cstheme="minorHAnsi"/>
          <w:lang w:val="en-GB"/>
        </w:rPr>
        <w:t>núm</w:t>
      </w:r>
      <w:proofErr w:type="spellEnd"/>
      <w:r w:rsidRPr="00691818">
        <w:rPr>
          <w:rFonts w:ascii="Verdana" w:hAnsi="Verdana" w:cstheme="minorHAnsi"/>
          <w:lang w:val="en-GB"/>
        </w:rPr>
        <w:t>.</w:t>
      </w:r>
      <w:proofErr w:type="gramEnd"/>
      <w:r w:rsidRPr="00691818">
        <w:rPr>
          <w:rFonts w:ascii="Verdana" w:hAnsi="Verdana" w:cstheme="minorHAnsi"/>
          <w:lang w:val="en-GB"/>
        </w:rPr>
        <w:t xml:space="preserve"> 3, pp. 472-496.</w:t>
      </w:r>
    </w:p>
    <w:p w:rsidR="00691818" w:rsidRPr="00691818" w:rsidRDefault="00691818" w:rsidP="00691818">
      <w:pPr>
        <w:shd w:val="clear" w:color="auto" w:fill="FFFFFF"/>
        <w:tabs>
          <w:tab w:val="left" w:pos="2835"/>
        </w:tabs>
        <w:autoSpaceDE w:val="0"/>
        <w:autoSpaceDN w:val="0"/>
        <w:adjustRightInd w:val="0"/>
        <w:spacing w:line="23" w:lineRule="atLeast"/>
        <w:jc w:val="both"/>
        <w:textAlignment w:val="baseline"/>
        <w:rPr>
          <w:rFonts w:ascii="Verdana" w:hAnsi="Verdana" w:cstheme="minorHAnsi"/>
          <w:b/>
          <w:i/>
          <w:iCs/>
          <w:lang w:val="en-US"/>
        </w:rPr>
      </w:pPr>
      <w:r w:rsidRPr="00691818">
        <w:rPr>
          <w:rFonts w:ascii="Verdana" w:hAnsi="Verdana"/>
          <w:lang w:val="en-GB"/>
        </w:rPr>
        <w:t xml:space="preserve">Godfrey, G.; </w:t>
      </w:r>
      <w:proofErr w:type="spellStart"/>
      <w:r w:rsidRPr="00691818">
        <w:rPr>
          <w:rFonts w:ascii="Verdana" w:hAnsi="Verdana"/>
          <w:lang w:val="en-GB"/>
        </w:rPr>
        <w:t>Marchington</w:t>
      </w:r>
      <w:proofErr w:type="spellEnd"/>
      <w:r w:rsidRPr="00691818">
        <w:rPr>
          <w:rFonts w:ascii="Verdana" w:hAnsi="Verdana"/>
          <w:lang w:val="en-GB"/>
        </w:rPr>
        <w:t xml:space="preserve">, M. (1996): “Shop stewards in the 1990s: a research note”. </w:t>
      </w:r>
      <w:proofErr w:type="spellStart"/>
      <w:r w:rsidRPr="00691818">
        <w:rPr>
          <w:rFonts w:ascii="Verdana" w:hAnsi="Verdana"/>
          <w:lang w:val="en-GB"/>
        </w:rPr>
        <w:t>En</w:t>
      </w:r>
      <w:proofErr w:type="spellEnd"/>
      <w:r w:rsidRPr="00691818">
        <w:rPr>
          <w:rFonts w:ascii="Verdana" w:hAnsi="Verdana"/>
          <w:lang w:val="en-GB"/>
        </w:rPr>
        <w:t xml:space="preserve"> </w:t>
      </w:r>
      <w:r w:rsidRPr="00691818">
        <w:rPr>
          <w:rFonts w:ascii="Verdana" w:hAnsi="Verdana"/>
          <w:i/>
          <w:lang w:val="en-GB"/>
        </w:rPr>
        <w:t>Industrial Relations Journal</w:t>
      </w:r>
      <w:r w:rsidRPr="00691818">
        <w:rPr>
          <w:rFonts w:ascii="Verdana" w:hAnsi="Verdana"/>
          <w:lang w:val="en-GB"/>
        </w:rPr>
        <w:t xml:space="preserve">, vol. </w:t>
      </w:r>
      <w:r w:rsidRPr="00691818">
        <w:rPr>
          <w:rFonts w:ascii="Verdana" w:hAnsi="Verdana" w:cs="Arial"/>
          <w:lang w:val="en-GB"/>
        </w:rPr>
        <w:t xml:space="preserve">27, </w:t>
      </w:r>
      <w:proofErr w:type="spellStart"/>
      <w:r w:rsidRPr="00691818">
        <w:rPr>
          <w:rFonts w:ascii="Verdana" w:hAnsi="Verdana" w:cs="Arial"/>
          <w:lang w:val="en-GB"/>
        </w:rPr>
        <w:t>núm</w:t>
      </w:r>
      <w:proofErr w:type="spellEnd"/>
      <w:r w:rsidRPr="00691818">
        <w:rPr>
          <w:rFonts w:ascii="Verdana" w:hAnsi="Verdana" w:cs="Arial"/>
          <w:lang w:val="en-GB"/>
        </w:rPr>
        <w:t>. 4, pp. 339-344.</w:t>
      </w:r>
    </w:p>
    <w:p w:rsidR="00691818" w:rsidRPr="00691818" w:rsidRDefault="00691818" w:rsidP="00691818">
      <w:pPr>
        <w:spacing w:line="23" w:lineRule="atLeast"/>
        <w:jc w:val="both"/>
        <w:rPr>
          <w:rFonts w:ascii="Verdana" w:hAnsi="Verdana" w:cstheme="minorHAnsi"/>
          <w:lang w:val="en-GB"/>
        </w:rPr>
      </w:pPr>
      <w:proofErr w:type="spellStart"/>
      <w:r w:rsidRPr="00691818">
        <w:rPr>
          <w:rFonts w:ascii="Verdana" w:hAnsi="Verdana" w:cstheme="minorHAnsi"/>
          <w:lang w:val="en-US"/>
        </w:rPr>
        <w:t>Gumbrell</w:t>
      </w:r>
      <w:proofErr w:type="spellEnd"/>
      <w:r w:rsidRPr="00691818">
        <w:rPr>
          <w:rFonts w:ascii="Verdana" w:hAnsi="Verdana" w:cstheme="minorHAnsi"/>
          <w:lang w:val="en-US"/>
        </w:rPr>
        <w:t>-McCormick, R.; Hyman, R. (2006): “</w:t>
      </w:r>
      <w:r w:rsidRPr="00691818">
        <w:rPr>
          <w:rFonts w:ascii="Verdana" w:hAnsi="Verdana" w:cstheme="minorHAnsi"/>
          <w:bCs/>
          <w:lang w:val="en-US"/>
        </w:rPr>
        <w:t xml:space="preserve">Embedded collectivism? </w:t>
      </w:r>
      <w:proofErr w:type="gramStart"/>
      <w:r w:rsidRPr="00691818">
        <w:rPr>
          <w:rFonts w:ascii="Verdana" w:hAnsi="Verdana" w:cstheme="minorHAnsi"/>
          <w:bCs/>
          <w:lang w:val="en-GB"/>
        </w:rPr>
        <w:t>Workplace representation in France and Germany”.</w:t>
      </w:r>
      <w:proofErr w:type="gramEnd"/>
      <w:r w:rsidRPr="00691818">
        <w:rPr>
          <w:rFonts w:ascii="Verdana" w:hAnsi="Verdana" w:cstheme="minorHAnsi"/>
          <w:bCs/>
          <w:lang w:val="en-GB"/>
        </w:rPr>
        <w:t xml:space="preserve"> </w:t>
      </w:r>
      <w:proofErr w:type="spellStart"/>
      <w:r w:rsidRPr="00691818">
        <w:rPr>
          <w:rFonts w:ascii="Verdana" w:hAnsi="Verdana" w:cstheme="minorHAnsi"/>
          <w:bCs/>
          <w:lang w:val="en-GB"/>
        </w:rPr>
        <w:t>En</w:t>
      </w:r>
      <w:proofErr w:type="spellEnd"/>
      <w:r w:rsidRPr="00691818">
        <w:rPr>
          <w:rFonts w:ascii="Verdana" w:hAnsi="Verdana" w:cstheme="minorHAnsi"/>
          <w:bCs/>
          <w:lang w:val="en-GB"/>
        </w:rPr>
        <w:t xml:space="preserve"> </w:t>
      </w:r>
      <w:r w:rsidRPr="00691818">
        <w:rPr>
          <w:rFonts w:ascii="Verdana" w:hAnsi="Verdana" w:cstheme="minorHAnsi"/>
          <w:i/>
          <w:iCs/>
          <w:lang w:val="en-GB"/>
        </w:rPr>
        <w:t>Industrial Relations Journal</w:t>
      </w:r>
      <w:r w:rsidRPr="00691818">
        <w:rPr>
          <w:rFonts w:ascii="Verdana" w:hAnsi="Verdana" w:cstheme="minorHAnsi"/>
          <w:lang w:val="en-GB"/>
        </w:rPr>
        <w:t xml:space="preserve">, vol. 37, </w:t>
      </w:r>
      <w:proofErr w:type="spellStart"/>
      <w:r w:rsidRPr="00691818">
        <w:rPr>
          <w:rFonts w:ascii="Verdana" w:hAnsi="Verdana" w:cstheme="minorHAnsi"/>
          <w:lang w:val="en-GB"/>
        </w:rPr>
        <w:t>núm</w:t>
      </w:r>
      <w:proofErr w:type="spellEnd"/>
      <w:r w:rsidRPr="00691818">
        <w:rPr>
          <w:rFonts w:ascii="Verdana" w:hAnsi="Verdana" w:cstheme="minorHAnsi"/>
          <w:lang w:val="en-GB"/>
        </w:rPr>
        <w:t>. 5, pp. 473–491.</w:t>
      </w:r>
    </w:p>
    <w:p w:rsidR="00691818" w:rsidRPr="00691818" w:rsidRDefault="00691818" w:rsidP="00691818">
      <w:pPr>
        <w:spacing w:line="23" w:lineRule="atLeast"/>
        <w:jc w:val="both"/>
        <w:rPr>
          <w:rFonts w:ascii="Verdana" w:hAnsi="Verdana" w:cstheme="minorHAnsi"/>
          <w:lang w:val="fr-FR"/>
        </w:rPr>
      </w:pPr>
      <w:proofErr w:type="spellStart"/>
      <w:r w:rsidRPr="00691818">
        <w:rPr>
          <w:rFonts w:ascii="Verdana" w:hAnsi="Verdana" w:cstheme="minorHAnsi"/>
          <w:lang w:val="en-US"/>
        </w:rPr>
        <w:t>Heery</w:t>
      </w:r>
      <w:proofErr w:type="spellEnd"/>
      <w:r w:rsidRPr="00691818">
        <w:rPr>
          <w:rFonts w:ascii="Verdana" w:hAnsi="Verdana" w:cstheme="minorHAnsi"/>
          <w:lang w:val="en-US"/>
        </w:rPr>
        <w:t xml:space="preserve">, E. (2010): “Worker Representation in a Multiform System: A Framework for Evaluation”. </w:t>
      </w:r>
      <w:r w:rsidRPr="00691818">
        <w:rPr>
          <w:rFonts w:ascii="Verdana" w:hAnsi="Verdana" w:cstheme="minorHAnsi"/>
          <w:lang w:val="fr-FR"/>
        </w:rPr>
        <w:t xml:space="preserve">En </w:t>
      </w:r>
      <w:r w:rsidRPr="00691818">
        <w:rPr>
          <w:rFonts w:ascii="Verdana" w:hAnsi="Verdana" w:cstheme="minorHAnsi"/>
          <w:i/>
          <w:iCs/>
          <w:lang w:val="fr-FR"/>
        </w:rPr>
        <w:t xml:space="preserve">Journal of </w:t>
      </w:r>
      <w:proofErr w:type="spellStart"/>
      <w:r w:rsidRPr="00691818">
        <w:rPr>
          <w:rFonts w:ascii="Verdana" w:hAnsi="Verdana" w:cstheme="minorHAnsi"/>
          <w:i/>
          <w:iCs/>
          <w:lang w:val="fr-FR"/>
        </w:rPr>
        <w:t>Industrial</w:t>
      </w:r>
      <w:proofErr w:type="spellEnd"/>
      <w:r w:rsidRPr="00691818">
        <w:rPr>
          <w:rFonts w:ascii="Verdana" w:hAnsi="Verdana" w:cstheme="minorHAnsi"/>
          <w:i/>
          <w:iCs/>
          <w:lang w:val="fr-FR"/>
        </w:rPr>
        <w:t xml:space="preserve"> Relations,</w:t>
      </w:r>
      <w:r w:rsidRPr="00691818">
        <w:rPr>
          <w:rFonts w:ascii="Verdana" w:hAnsi="Verdana" w:cstheme="minorHAnsi"/>
          <w:iCs/>
          <w:lang w:val="fr-FR"/>
        </w:rPr>
        <w:t xml:space="preserve"> vol. </w:t>
      </w:r>
      <w:r w:rsidRPr="00691818">
        <w:rPr>
          <w:rFonts w:ascii="Verdana" w:hAnsi="Verdana" w:cstheme="minorHAnsi"/>
          <w:lang w:val="fr-FR"/>
        </w:rPr>
        <w:t xml:space="preserve">52, </w:t>
      </w:r>
      <w:proofErr w:type="spellStart"/>
      <w:r w:rsidRPr="00691818">
        <w:rPr>
          <w:rFonts w:ascii="Verdana" w:hAnsi="Verdana" w:cstheme="minorHAnsi"/>
          <w:lang w:val="fr-FR"/>
        </w:rPr>
        <w:t>núm</w:t>
      </w:r>
      <w:proofErr w:type="spellEnd"/>
      <w:r w:rsidRPr="00691818">
        <w:rPr>
          <w:rFonts w:ascii="Verdana" w:hAnsi="Verdana" w:cstheme="minorHAnsi"/>
          <w:lang w:val="fr-FR"/>
        </w:rPr>
        <w:t>. 5, pp. 543–559.</w:t>
      </w:r>
    </w:p>
    <w:p w:rsidR="00691818" w:rsidRPr="00691818" w:rsidRDefault="00691818" w:rsidP="00691818">
      <w:pPr>
        <w:autoSpaceDE w:val="0"/>
        <w:autoSpaceDN w:val="0"/>
        <w:adjustRightInd w:val="0"/>
        <w:spacing w:line="23" w:lineRule="atLeast"/>
        <w:jc w:val="both"/>
        <w:rPr>
          <w:rFonts w:ascii="Verdana" w:hAnsi="Verdana" w:cstheme="minorHAnsi"/>
          <w:iCs/>
          <w:lang w:val="ca-ES"/>
        </w:rPr>
      </w:pPr>
      <w:proofErr w:type="spellStart"/>
      <w:r w:rsidRPr="00691818">
        <w:rPr>
          <w:rFonts w:ascii="Verdana" w:hAnsi="Verdana" w:cstheme="minorHAnsi"/>
          <w:iCs/>
          <w:bdr w:val="none" w:sz="0" w:space="0" w:color="auto" w:frame="1"/>
          <w:shd w:val="clear" w:color="auto" w:fill="FFFFFF"/>
          <w:lang w:val="fr-FR"/>
        </w:rPr>
        <w:t>Hege</w:t>
      </w:r>
      <w:proofErr w:type="spellEnd"/>
      <w:r w:rsidRPr="00691818">
        <w:rPr>
          <w:rFonts w:ascii="Verdana" w:hAnsi="Verdana" w:cstheme="minorHAnsi"/>
          <w:iCs/>
          <w:bdr w:val="none" w:sz="0" w:space="0" w:color="auto" w:frame="1"/>
          <w:shd w:val="clear" w:color="auto" w:fill="FFFFFF"/>
          <w:lang w:val="fr-FR"/>
        </w:rPr>
        <w:t>, A.; Lévesque, C. ; Murray, G. ; Dufour, C. (2011</w:t>
      </w:r>
      <w:r w:rsidRPr="00691818">
        <w:rPr>
          <w:rFonts w:ascii="Verdana" w:hAnsi="Verdana" w:cstheme="minorHAnsi"/>
          <w:i/>
          <w:lang w:val="fr-FR"/>
        </w:rPr>
        <w:t>):</w:t>
      </w:r>
      <w:r w:rsidRPr="00691818">
        <w:rPr>
          <w:rFonts w:ascii="Verdana" w:hAnsi="Verdana" w:cstheme="minorHAnsi"/>
          <w:lang w:val="fr-FR"/>
        </w:rPr>
        <w:t xml:space="preserve"> “</w:t>
      </w:r>
      <w:r w:rsidRPr="00691818">
        <w:rPr>
          <w:rFonts w:ascii="Verdana" w:hAnsi="Verdana" w:cstheme="minorHAnsi"/>
          <w:bdr w:val="none" w:sz="0" w:space="0" w:color="auto" w:frame="1"/>
          <w:shd w:val="clear" w:color="auto" w:fill="FFFFFF"/>
          <w:lang w:val="fr-FR"/>
        </w:rPr>
        <w:t>Les délégués, acteurs stratégiques du renouveau syndical?</w:t>
      </w:r>
      <w:r w:rsidRPr="00691818">
        <w:rPr>
          <w:rFonts w:ascii="Verdana" w:hAnsi="Verdana" w:cstheme="minorHAnsi"/>
          <w:lang w:val="fr-FR"/>
        </w:rPr>
        <w:t xml:space="preserve">". </w:t>
      </w:r>
      <w:r w:rsidRPr="00691818">
        <w:rPr>
          <w:rFonts w:ascii="Verdana" w:hAnsi="Verdana" w:cstheme="minorHAnsi"/>
          <w:bCs/>
          <w:lang w:val="ca-ES"/>
        </w:rPr>
        <w:t xml:space="preserve">En </w:t>
      </w:r>
      <w:proofErr w:type="spellStart"/>
      <w:r w:rsidRPr="00691818">
        <w:rPr>
          <w:rFonts w:ascii="Verdana" w:hAnsi="Verdana" w:cstheme="minorHAnsi"/>
          <w:i/>
          <w:color w:val="333333"/>
        </w:rPr>
        <w:t>Revue</w:t>
      </w:r>
      <w:proofErr w:type="spellEnd"/>
      <w:r w:rsidRPr="00691818">
        <w:rPr>
          <w:rFonts w:ascii="Verdana" w:hAnsi="Verdana" w:cstheme="minorHAnsi"/>
          <w:i/>
          <w:color w:val="333333"/>
        </w:rPr>
        <w:t xml:space="preserve"> de </w:t>
      </w:r>
      <w:proofErr w:type="spellStart"/>
      <w:r w:rsidRPr="00691818">
        <w:rPr>
          <w:rFonts w:ascii="Verdana" w:hAnsi="Verdana" w:cstheme="minorHAnsi"/>
          <w:i/>
          <w:color w:val="333333"/>
        </w:rPr>
        <w:t>l’IRES</w:t>
      </w:r>
      <w:proofErr w:type="spellEnd"/>
      <w:r w:rsidRPr="00691818">
        <w:rPr>
          <w:rFonts w:ascii="Verdana" w:hAnsi="Verdana" w:cstheme="minorHAnsi"/>
        </w:rPr>
        <w:t>, núm. 68, pp. 4-18.</w:t>
      </w:r>
    </w:p>
    <w:p w:rsidR="00691818" w:rsidRPr="00691818" w:rsidRDefault="00691818" w:rsidP="00691818">
      <w:pPr>
        <w:spacing w:line="23" w:lineRule="atLeast"/>
        <w:jc w:val="both"/>
        <w:rPr>
          <w:rFonts w:ascii="Verdana" w:hAnsi="Verdana"/>
        </w:rPr>
      </w:pPr>
      <w:proofErr w:type="spellStart"/>
      <w:r w:rsidRPr="00691818">
        <w:rPr>
          <w:rFonts w:ascii="Verdana" w:hAnsi="Verdana"/>
        </w:rPr>
        <w:t>Hobsbawm</w:t>
      </w:r>
      <w:proofErr w:type="spellEnd"/>
      <w:r w:rsidRPr="00691818">
        <w:rPr>
          <w:rFonts w:ascii="Verdana" w:hAnsi="Verdana"/>
        </w:rPr>
        <w:t xml:space="preserve">, E.J. (1979): </w:t>
      </w:r>
      <w:r w:rsidRPr="00691818">
        <w:rPr>
          <w:rFonts w:ascii="Verdana" w:hAnsi="Verdana"/>
          <w:i/>
        </w:rPr>
        <w:t>Trabajadores. Estudios de historia de la clase obrera</w:t>
      </w:r>
      <w:r w:rsidRPr="00691818">
        <w:rPr>
          <w:rFonts w:ascii="Verdana" w:hAnsi="Verdana"/>
        </w:rPr>
        <w:t>. Barcelona: Crítica.</w:t>
      </w:r>
    </w:p>
    <w:p w:rsidR="00691818" w:rsidRPr="00691818" w:rsidRDefault="00691818" w:rsidP="00691818">
      <w:pPr>
        <w:spacing w:line="23" w:lineRule="atLeast"/>
        <w:jc w:val="both"/>
        <w:rPr>
          <w:rFonts w:ascii="Verdana" w:hAnsi="Verdana"/>
        </w:rPr>
      </w:pPr>
      <w:proofErr w:type="spellStart"/>
      <w:r w:rsidRPr="00691818">
        <w:rPr>
          <w:rFonts w:ascii="Verdana" w:hAnsi="Verdana"/>
        </w:rPr>
        <w:t>Hyman</w:t>
      </w:r>
      <w:proofErr w:type="spellEnd"/>
      <w:r w:rsidRPr="00691818">
        <w:rPr>
          <w:rFonts w:ascii="Verdana" w:hAnsi="Verdana"/>
        </w:rPr>
        <w:t xml:space="preserve">, R. (1981): </w:t>
      </w:r>
      <w:r w:rsidRPr="00691818">
        <w:rPr>
          <w:rFonts w:ascii="Verdana" w:hAnsi="Verdana"/>
          <w:i/>
        </w:rPr>
        <w:t>Relaciones industriales. Una introducción marxista</w:t>
      </w:r>
      <w:r w:rsidRPr="00691818">
        <w:rPr>
          <w:rFonts w:ascii="Verdana" w:hAnsi="Verdana"/>
        </w:rPr>
        <w:t xml:space="preserve">. Madrid: </w:t>
      </w:r>
      <w:proofErr w:type="spellStart"/>
      <w:r w:rsidRPr="00691818">
        <w:rPr>
          <w:rFonts w:ascii="Verdana" w:hAnsi="Verdana"/>
        </w:rPr>
        <w:t>Blume</w:t>
      </w:r>
      <w:proofErr w:type="spellEnd"/>
      <w:r w:rsidRPr="00691818">
        <w:rPr>
          <w:rFonts w:ascii="Verdana" w:hAnsi="Verdana"/>
        </w:rPr>
        <w:t>.</w:t>
      </w:r>
    </w:p>
    <w:p w:rsidR="00691818" w:rsidRPr="00691818" w:rsidRDefault="00691818" w:rsidP="00691818">
      <w:pPr>
        <w:jc w:val="both"/>
        <w:rPr>
          <w:rFonts w:ascii="Verdana" w:hAnsi="Verdana"/>
          <w:lang w:val="en-US"/>
        </w:rPr>
      </w:pPr>
      <w:r w:rsidRPr="00691818">
        <w:rPr>
          <w:rFonts w:ascii="Verdana" w:hAnsi="Verdana"/>
          <w:lang w:val="en-US"/>
        </w:rPr>
        <w:t xml:space="preserve">Hyman, R. (2001): </w:t>
      </w:r>
      <w:r w:rsidRPr="00691818">
        <w:rPr>
          <w:rFonts w:ascii="Verdana" w:hAnsi="Verdana"/>
          <w:i/>
          <w:lang w:val="en-US"/>
        </w:rPr>
        <w:t xml:space="preserve">Understanding European Trade Unionism. </w:t>
      </w:r>
      <w:proofErr w:type="gramStart"/>
      <w:r w:rsidRPr="00691818">
        <w:rPr>
          <w:rFonts w:ascii="Verdana" w:hAnsi="Verdana"/>
          <w:i/>
          <w:lang w:val="en-US"/>
        </w:rPr>
        <w:t>Between Market, Class &amp; Society</w:t>
      </w:r>
      <w:r w:rsidRPr="00691818">
        <w:rPr>
          <w:rFonts w:ascii="Verdana" w:hAnsi="Verdana"/>
          <w:lang w:val="en-US"/>
        </w:rPr>
        <w:t>.</w:t>
      </w:r>
      <w:proofErr w:type="gramEnd"/>
      <w:r w:rsidRPr="00691818">
        <w:rPr>
          <w:rFonts w:ascii="Verdana" w:hAnsi="Verdana"/>
          <w:lang w:val="en-US"/>
        </w:rPr>
        <w:t xml:space="preserve"> London: SAGE Publications. </w:t>
      </w:r>
    </w:p>
    <w:p w:rsidR="00691818" w:rsidRPr="00691818" w:rsidRDefault="00691818" w:rsidP="00691818">
      <w:pPr>
        <w:jc w:val="both"/>
        <w:rPr>
          <w:rFonts w:ascii="Verdana" w:hAnsi="Verdana"/>
        </w:rPr>
      </w:pPr>
      <w:proofErr w:type="spellStart"/>
      <w:r w:rsidRPr="00691818">
        <w:rPr>
          <w:rFonts w:ascii="Verdana" w:hAnsi="Verdana"/>
        </w:rPr>
        <w:t>Jódar</w:t>
      </w:r>
      <w:proofErr w:type="spellEnd"/>
      <w:r w:rsidRPr="00691818">
        <w:rPr>
          <w:rFonts w:ascii="Verdana" w:hAnsi="Verdana"/>
        </w:rPr>
        <w:t xml:space="preserve">, P.; Ortiz, L.; Martí, J.; Martín, A.; </w:t>
      </w:r>
      <w:proofErr w:type="spellStart"/>
      <w:r w:rsidRPr="00691818">
        <w:rPr>
          <w:rFonts w:ascii="Verdana" w:hAnsi="Verdana"/>
        </w:rPr>
        <w:t>Alós</w:t>
      </w:r>
      <w:proofErr w:type="spellEnd"/>
      <w:r w:rsidRPr="00691818">
        <w:rPr>
          <w:rFonts w:ascii="Verdana" w:hAnsi="Verdana"/>
        </w:rPr>
        <w:t>, R. (2004): “Los perfiles de la afiliación sindical. Una propuesta metodológica a partir de un estudio de CCOO en Cataluña”. Cuadernos de Relaciones Laborales, vol. 22, núm. 2, pp. 35-61.</w:t>
      </w:r>
    </w:p>
    <w:p w:rsidR="00691818" w:rsidRPr="00691818" w:rsidRDefault="00691818" w:rsidP="00691818">
      <w:pPr>
        <w:spacing w:line="23" w:lineRule="atLeast"/>
        <w:jc w:val="both"/>
        <w:rPr>
          <w:rFonts w:ascii="Verdana" w:hAnsi="Verdana"/>
        </w:rPr>
      </w:pPr>
      <w:proofErr w:type="spellStart"/>
      <w:r w:rsidRPr="00691818">
        <w:rPr>
          <w:rFonts w:ascii="Verdana" w:hAnsi="Verdana"/>
        </w:rPr>
        <w:t>Jódar</w:t>
      </w:r>
      <w:proofErr w:type="spellEnd"/>
      <w:r w:rsidRPr="00691818">
        <w:rPr>
          <w:rFonts w:ascii="Verdana" w:hAnsi="Verdana"/>
        </w:rPr>
        <w:t xml:space="preserve"> et al.; </w:t>
      </w:r>
      <w:proofErr w:type="spellStart"/>
      <w:r w:rsidRPr="00691818">
        <w:rPr>
          <w:rFonts w:ascii="Verdana" w:hAnsi="Verdana" w:cs="Arial"/>
          <w:color w:val="000000"/>
        </w:rPr>
        <w:t>Alós</w:t>
      </w:r>
      <w:proofErr w:type="spellEnd"/>
      <w:r w:rsidRPr="00691818">
        <w:rPr>
          <w:rFonts w:ascii="Verdana" w:hAnsi="Verdana" w:cs="Arial"/>
          <w:color w:val="000000"/>
        </w:rPr>
        <w:t xml:space="preserve">, R.; Boso, À.; </w:t>
      </w:r>
      <w:proofErr w:type="spellStart"/>
      <w:r w:rsidRPr="00691818">
        <w:rPr>
          <w:rFonts w:ascii="Verdana" w:hAnsi="Verdana" w:cs="Arial"/>
          <w:color w:val="000000"/>
        </w:rPr>
        <w:t>Garrell</w:t>
      </w:r>
      <w:proofErr w:type="spellEnd"/>
      <w:r w:rsidRPr="00691818">
        <w:rPr>
          <w:rFonts w:ascii="Verdana" w:hAnsi="Verdana" w:cs="Arial"/>
          <w:color w:val="000000"/>
        </w:rPr>
        <w:t xml:space="preserve">, D.; </w:t>
      </w:r>
      <w:proofErr w:type="spellStart"/>
      <w:r w:rsidRPr="00691818">
        <w:rPr>
          <w:rFonts w:ascii="Verdana" w:hAnsi="Verdana" w:cs="Arial"/>
          <w:color w:val="000000"/>
        </w:rPr>
        <w:t>Guiu</w:t>
      </w:r>
      <w:proofErr w:type="spellEnd"/>
      <w:r w:rsidRPr="00691818">
        <w:rPr>
          <w:rFonts w:ascii="Verdana" w:hAnsi="Verdana" w:cs="Arial"/>
          <w:color w:val="000000"/>
        </w:rPr>
        <w:t xml:space="preserve">, J. (2011): </w:t>
      </w:r>
      <w:proofErr w:type="spellStart"/>
      <w:r w:rsidRPr="00691818">
        <w:rPr>
          <w:rFonts w:ascii="Verdana" w:hAnsi="Verdana" w:cs="Arial"/>
          <w:i/>
          <w:color w:val="000000"/>
        </w:rPr>
        <w:t>L'afiliació</w:t>
      </w:r>
      <w:proofErr w:type="spellEnd"/>
      <w:r w:rsidRPr="00691818">
        <w:rPr>
          <w:rFonts w:ascii="Verdana" w:hAnsi="Verdana" w:cs="Arial"/>
          <w:i/>
          <w:color w:val="000000"/>
        </w:rPr>
        <w:t xml:space="preserve"> </w:t>
      </w:r>
      <w:proofErr w:type="spellStart"/>
      <w:r w:rsidRPr="00691818">
        <w:rPr>
          <w:rFonts w:ascii="Verdana" w:hAnsi="Verdana" w:cs="Arial"/>
          <w:i/>
          <w:color w:val="000000"/>
        </w:rPr>
        <w:t>estrangera</w:t>
      </w:r>
      <w:proofErr w:type="spellEnd"/>
      <w:r w:rsidRPr="00691818">
        <w:rPr>
          <w:rFonts w:ascii="Verdana" w:hAnsi="Verdana" w:cs="Arial"/>
          <w:i/>
          <w:color w:val="000000"/>
        </w:rPr>
        <w:t xml:space="preserve"> a CCOO de Catalunya. La </w:t>
      </w:r>
      <w:proofErr w:type="spellStart"/>
      <w:r w:rsidRPr="00691818">
        <w:rPr>
          <w:rFonts w:ascii="Verdana" w:hAnsi="Verdana" w:cs="Arial"/>
          <w:i/>
          <w:color w:val="000000"/>
        </w:rPr>
        <w:t>diversitat</w:t>
      </w:r>
      <w:proofErr w:type="spellEnd"/>
      <w:r w:rsidRPr="00691818">
        <w:rPr>
          <w:rFonts w:ascii="Verdana" w:hAnsi="Verdana" w:cs="Arial"/>
          <w:i/>
          <w:color w:val="000000"/>
        </w:rPr>
        <w:t xml:space="preserve"> </w:t>
      </w:r>
      <w:proofErr w:type="spellStart"/>
      <w:r w:rsidRPr="00691818">
        <w:rPr>
          <w:rFonts w:ascii="Verdana" w:hAnsi="Verdana" w:cs="Arial"/>
          <w:i/>
          <w:color w:val="000000"/>
        </w:rPr>
        <w:t>dins</w:t>
      </w:r>
      <w:proofErr w:type="spellEnd"/>
      <w:r w:rsidRPr="00691818">
        <w:rPr>
          <w:rFonts w:ascii="Verdana" w:hAnsi="Verdana" w:cs="Arial"/>
          <w:i/>
          <w:color w:val="000000"/>
        </w:rPr>
        <w:t xml:space="preserve"> de la </w:t>
      </w:r>
      <w:proofErr w:type="spellStart"/>
      <w:r w:rsidRPr="00691818">
        <w:rPr>
          <w:rFonts w:ascii="Verdana" w:hAnsi="Verdana" w:cs="Arial"/>
          <w:i/>
          <w:color w:val="000000"/>
        </w:rPr>
        <w:t>diversitat</w:t>
      </w:r>
      <w:proofErr w:type="spellEnd"/>
      <w:r w:rsidRPr="00691818">
        <w:rPr>
          <w:rFonts w:ascii="Verdana" w:hAnsi="Verdana" w:cs="Arial"/>
          <w:color w:val="000000"/>
        </w:rPr>
        <w:t xml:space="preserve">. Barcelona: Centre </w:t>
      </w:r>
      <w:proofErr w:type="spellStart"/>
      <w:r w:rsidRPr="00691818">
        <w:rPr>
          <w:rFonts w:ascii="Verdana" w:hAnsi="Verdana" w:cs="Arial"/>
          <w:color w:val="000000"/>
        </w:rPr>
        <w:t>d'Estudis</w:t>
      </w:r>
      <w:proofErr w:type="spellEnd"/>
      <w:r w:rsidRPr="00691818">
        <w:rPr>
          <w:rFonts w:ascii="Verdana" w:hAnsi="Verdana" w:cs="Arial"/>
          <w:color w:val="000000"/>
        </w:rPr>
        <w:t xml:space="preserve"> i Recerca </w:t>
      </w:r>
      <w:proofErr w:type="spellStart"/>
      <w:r w:rsidRPr="00691818">
        <w:rPr>
          <w:rFonts w:ascii="Verdana" w:hAnsi="Verdana" w:cs="Arial"/>
          <w:color w:val="000000"/>
        </w:rPr>
        <w:t>Sindicals</w:t>
      </w:r>
      <w:proofErr w:type="spellEnd"/>
      <w:r w:rsidRPr="00691818">
        <w:rPr>
          <w:rFonts w:ascii="Verdana" w:hAnsi="Verdana" w:cs="Arial"/>
          <w:color w:val="000000"/>
        </w:rPr>
        <w:t>- CONC.</w:t>
      </w:r>
    </w:p>
    <w:p w:rsidR="00691818" w:rsidRPr="00691818" w:rsidRDefault="00691818" w:rsidP="00691818">
      <w:pPr>
        <w:spacing w:line="23" w:lineRule="atLeast"/>
        <w:jc w:val="both"/>
        <w:rPr>
          <w:rFonts w:ascii="Verdana" w:hAnsi="Verdana"/>
        </w:rPr>
      </w:pPr>
      <w:proofErr w:type="spellStart"/>
      <w:r w:rsidRPr="00691818">
        <w:rPr>
          <w:rFonts w:ascii="Verdana" w:hAnsi="Verdana"/>
        </w:rPr>
        <w:t>Köhler</w:t>
      </w:r>
      <w:proofErr w:type="spellEnd"/>
      <w:r w:rsidRPr="00691818">
        <w:rPr>
          <w:rFonts w:ascii="Verdana" w:hAnsi="Verdana"/>
        </w:rPr>
        <w:t xml:space="preserve">, H.D.; Martín </w:t>
      </w:r>
      <w:proofErr w:type="spellStart"/>
      <w:r w:rsidRPr="00691818">
        <w:rPr>
          <w:rFonts w:ascii="Verdana" w:hAnsi="Verdana"/>
        </w:rPr>
        <w:t>Artiles</w:t>
      </w:r>
      <w:proofErr w:type="spellEnd"/>
      <w:r w:rsidRPr="00691818">
        <w:rPr>
          <w:rFonts w:ascii="Verdana" w:hAnsi="Verdana"/>
        </w:rPr>
        <w:t xml:space="preserve">, A. (2005): </w:t>
      </w:r>
      <w:r w:rsidRPr="00691818">
        <w:rPr>
          <w:rFonts w:ascii="Verdana" w:hAnsi="Verdana"/>
          <w:i/>
        </w:rPr>
        <w:t>Manual de sociología del trabajo y de las relaciones laborales</w:t>
      </w:r>
      <w:r w:rsidRPr="00691818">
        <w:rPr>
          <w:rFonts w:ascii="Verdana" w:hAnsi="Verdana"/>
        </w:rPr>
        <w:t>. Madrid: Delta.</w:t>
      </w:r>
    </w:p>
    <w:p w:rsidR="00691818" w:rsidRPr="00691818" w:rsidRDefault="00691818" w:rsidP="00691818">
      <w:pPr>
        <w:spacing w:line="23" w:lineRule="atLeast"/>
        <w:jc w:val="both"/>
        <w:rPr>
          <w:rFonts w:ascii="Verdana" w:hAnsi="Verdana"/>
          <w:lang w:val="en-US"/>
        </w:rPr>
      </w:pPr>
      <w:proofErr w:type="spellStart"/>
      <w:r w:rsidRPr="00691818">
        <w:rPr>
          <w:rFonts w:ascii="Verdana" w:hAnsi="Verdana"/>
        </w:rPr>
        <w:t>Köhler</w:t>
      </w:r>
      <w:proofErr w:type="spellEnd"/>
      <w:r w:rsidRPr="00691818">
        <w:rPr>
          <w:rFonts w:ascii="Verdana" w:hAnsi="Verdana"/>
        </w:rPr>
        <w:t xml:space="preserve">, H.D.; Calleja, J.P. (2011): “Retos de futuro para las organizaciones sindicales en España”. </w:t>
      </w:r>
      <w:proofErr w:type="spellStart"/>
      <w:proofErr w:type="gramStart"/>
      <w:r w:rsidRPr="00691818">
        <w:rPr>
          <w:rFonts w:ascii="Verdana" w:hAnsi="Verdana"/>
          <w:lang w:val="en-US"/>
        </w:rPr>
        <w:t>En</w:t>
      </w:r>
      <w:proofErr w:type="spellEnd"/>
      <w:r w:rsidRPr="00691818">
        <w:rPr>
          <w:rFonts w:ascii="Verdana" w:hAnsi="Verdana"/>
          <w:lang w:val="en-US"/>
        </w:rPr>
        <w:t xml:space="preserve"> </w:t>
      </w:r>
      <w:proofErr w:type="spellStart"/>
      <w:r w:rsidRPr="00691818">
        <w:rPr>
          <w:rFonts w:ascii="Verdana" w:hAnsi="Verdana"/>
          <w:i/>
          <w:lang w:val="en-US"/>
        </w:rPr>
        <w:t>Gaceta</w:t>
      </w:r>
      <w:proofErr w:type="spellEnd"/>
      <w:r w:rsidRPr="00691818">
        <w:rPr>
          <w:rFonts w:ascii="Verdana" w:hAnsi="Verdana"/>
          <w:i/>
          <w:lang w:val="en-US"/>
        </w:rPr>
        <w:t xml:space="preserve"> </w:t>
      </w:r>
      <w:proofErr w:type="spellStart"/>
      <w:r w:rsidRPr="00691818">
        <w:rPr>
          <w:rFonts w:ascii="Verdana" w:hAnsi="Verdana"/>
          <w:i/>
          <w:lang w:val="en-US"/>
        </w:rPr>
        <w:t>Sindical</w:t>
      </w:r>
      <w:proofErr w:type="spellEnd"/>
      <w:r w:rsidRPr="00691818">
        <w:rPr>
          <w:rFonts w:ascii="Verdana" w:hAnsi="Verdana"/>
          <w:i/>
          <w:lang w:val="en-US"/>
        </w:rPr>
        <w:t>.</w:t>
      </w:r>
      <w:proofErr w:type="gramEnd"/>
      <w:r w:rsidRPr="00691818">
        <w:rPr>
          <w:rFonts w:ascii="Verdana" w:hAnsi="Verdana"/>
          <w:i/>
          <w:lang w:val="en-US"/>
        </w:rPr>
        <w:t xml:space="preserve"> </w:t>
      </w:r>
      <w:proofErr w:type="spellStart"/>
      <w:proofErr w:type="gramStart"/>
      <w:r w:rsidRPr="00691818">
        <w:rPr>
          <w:rFonts w:ascii="Verdana" w:hAnsi="Verdana"/>
          <w:i/>
          <w:lang w:val="en-US"/>
        </w:rPr>
        <w:t>Reflexión</w:t>
      </w:r>
      <w:proofErr w:type="spellEnd"/>
      <w:r w:rsidRPr="00691818">
        <w:rPr>
          <w:rFonts w:ascii="Verdana" w:hAnsi="Verdana"/>
          <w:i/>
          <w:lang w:val="en-US"/>
        </w:rPr>
        <w:t xml:space="preserve"> y debate</w:t>
      </w:r>
      <w:r w:rsidRPr="00691818">
        <w:rPr>
          <w:rFonts w:ascii="Verdana" w:hAnsi="Verdana"/>
          <w:lang w:val="en-US"/>
        </w:rPr>
        <w:t xml:space="preserve">, </w:t>
      </w:r>
      <w:proofErr w:type="spellStart"/>
      <w:r w:rsidRPr="00691818">
        <w:rPr>
          <w:rFonts w:ascii="Verdana" w:hAnsi="Verdana"/>
          <w:lang w:val="en-US"/>
        </w:rPr>
        <w:t>núm</w:t>
      </w:r>
      <w:proofErr w:type="spellEnd"/>
      <w:r w:rsidRPr="00691818">
        <w:rPr>
          <w:rFonts w:ascii="Verdana" w:hAnsi="Verdana"/>
          <w:lang w:val="en-US"/>
        </w:rPr>
        <w:t>.</w:t>
      </w:r>
      <w:proofErr w:type="gramEnd"/>
      <w:r w:rsidRPr="00691818">
        <w:rPr>
          <w:rFonts w:ascii="Verdana" w:hAnsi="Verdana"/>
          <w:lang w:val="en-US"/>
        </w:rPr>
        <w:t xml:space="preserve"> 16, pp 119-138.</w:t>
      </w:r>
    </w:p>
    <w:p w:rsidR="00691818" w:rsidRPr="00691818" w:rsidRDefault="00691818" w:rsidP="00691818">
      <w:pPr>
        <w:spacing w:line="23" w:lineRule="atLeast"/>
        <w:jc w:val="both"/>
        <w:rPr>
          <w:rFonts w:ascii="Verdana" w:hAnsi="Verdana"/>
          <w:lang w:val="fr-FR"/>
        </w:rPr>
      </w:pPr>
      <w:r w:rsidRPr="00691818">
        <w:rPr>
          <w:rFonts w:ascii="Verdana" w:hAnsi="Verdana"/>
          <w:lang w:val="en-US"/>
        </w:rPr>
        <w:lastRenderedPageBreak/>
        <w:t xml:space="preserve">Lange, P.; Ross, G.; </w:t>
      </w:r>
      <w:proofErr w:type="spellStart"/>
      <w:r w:rsidRPr="00691818">
        <w:rPr>
          <w:rFonts w:ascii="Verdana" w:hAnsi="Verdana"/>
          <w:lang w:val="en-US"/>
        </w:rPr>
        <w:t>Vannicelli</w:t>
      </w:r>
      <w:proofErr w:type="spellEnd"/>
      <w:r w:rsidRPr="00691818">
        <w:rPr>
          <w:rFonts w:ascii="Verdana" w:hAnsi="Verdana"/>
          <w:lang w:val="en-US"/>
        </w:rPr>
        <w:t xml:space="preserve">, M. (1982): </w:t>
      </w:r>
      <w:r w:rsidRPr="00691818">
        <w:rPr>
          <w:rFonts w:ascii="Verdana" w:hAnsi="Verdana"/>
          <w:i/>
          <w:lang w:val="en-US"/>
        </w:rPr>
        <w:t>Unions, Change, and Crisis: French and Italian Union Strategy and the Political Economy, 1945-1980</w:t>
      </w:r>
      <w:r w:rsidRPr="00691818">
        <w:rPr>
          <w:rFonts w:ascii="Verdana" w:hAnsi="Verdana"/>
          <w:lang w:val="en-US"/>
        </w:rPr>
        <w:t xml:space="preserve">. </w:t>
      </w:r>
      <w:r w:rsidRPr="00691818">
        <w:rPr>
          <w:rFonts w:ascii="Verdana" w:hAnsi="Verdana"/>
          <w:lang w:val="fr-FR"/>
        </w:rPr>
        <w:t xml:space="preserve">London &amp; New York: Allen and </w:t>
      </w:r>
      <w:proofErr w:type="spellStart"/>
      <w:r w:rsidRPr="00691818">
        <w:rPr>
          <w:rFonts w:ascii="Verdana" w:hAnsi="Verdana"/>
          <w:lang w:val="fr-FR"/>
        </w:rPr>
        <w:t>Unwin</w:t>
      </w:r>
      <w:proofErr w:type="spellEnd"/>
      <w:r w:rsidRPr="00691818">
        <w:rPr>
          <w:rFonts w:ascii="Verdana" w:hAnsi="Verdana"/>
          <w:lang w:val="fr-FR"/>
        </w:rPr>
        <w:t xml:space="preserve">. </w:t>
      </w:r>
    </w:p>
    <w:p w:rsidR="00691818" w:rsidRPr="00691818" w:rsidRDefault="00691818" w:rsidP="00691818">
      <w:pPr>
        <w:spacing w:line="23" w:lineRule="atLeast"/>
        <w:jc w:val="both"/>
        <w:rPr>
          <w:rFonts w:ascii="Verdana" w:hAnsi="Verdana" w:cstheme="minorHAnsi"/>
          <w:lang w:val="ca-ES"/>
        </w:rPr>
      </w:pPr>
      <w:r w:rsidRPr="00691818">
        <w:rPr>
          <w:rFonts w:ascii="Verdana" w:hAnsi="Verdana" w:cstheme="minorHAnsi"/>
          <w:iCs/>
          <w:bdr w:val="none" w:sz="0" w:space="0" w:color="auto" w:frame="1"/>
          <w:shd w:val="clear" w:color="auto" w:fill="FFFFFF"/>
          <w:lang w:val="ca-ES"/>
        </w:rPr>
        <w:t xml:space="preserve">Le </w:t>
      </w:r>
      <w:proofErr w:type="spellStart"/>
      <w:r w:rsidRPr="00691818">
        <w:rPr>
          <w:rFonts w:ascii="Verdana" w:hAnsi="Verdana" w:cstheme="minorHAnsi"/>
          <w:iCs/>
          <w:bdr w:val="none" w:sz="0" w:space="0" w:color="auto" w:frame="1"/>
          <w:shd w:val="clear" w:color="auto" w:fill="FFFFFF"/>
          <w:lang w:val="ca-ES"/>
        </w:rPr>
        <w:t>Capitaine,C</w:t>
      </w:r>
      <w:proofErr w:type="spellEnd"/>
      <w:r w:rsidRPr="00691818">
        <w:rPr>
          <w:rFonts w:ascii="Verdana" w:hAnsi="Verdana" w:cstheme="minorHAnsi"/>
          <w:iCs/>
          <w:bdr w:val="none" w:sz="0" w:space="0" w:color="auto" w:frame="1"/>
          <w:shd w:val="clear" w:color="auto" w:fill="FFFFFF"/>
          <w:lang w:val="ca-ES"/>
        </w:rPr>
        <w:t xml:space="preserve">.; </w:t>
      </w:r>
      <w:proofErr w:type="spellStart"/>
      <w:r w:rsidRPr="00691818">
        <w:rPr>
          <w:rFonts w:ascii="Verdana" w:hAnsi="Verdana" w:cstheme="minorHAnsi"/>
          <w:iCs/>
          <w:bdr w:val="none" w:sz="0" w:space="0" w:color="auto" w:frame="1"/>
          <w:shd w:val="clear" w:color="auto" w:fill="FFFFFF"/>
          <w:lang w:val="ca-ES"/>
        </w:rPr>
        <w:t>Lévesque</w:t>
      </w:r>
      <w:proofErr w:type="spellEnd"/>
      <w:r w:rsidRPr="00691818">
        <w:rPr>
          <w:rFonts w:ascii="Verdana" w:hAnsi="Verdana" w:cstheme="minorHAnsi"/>
          <w:iCs/>
          <w:bdr w:val="none" w:sz="0" w:space="0" w:color="auto" w:frame="1"/>
          <w:shd w:val="clear" w:color="auto" w:fill="FFFFFF"/>
          <w:lang w:val="ca-ES"/>
        </w:rPr>
        <w:t>, C.; Murray, G. (2011):</w:t>
      </w:r>
      <w:r w:rsidRPr="00691818">
        <w:rPr>
          <w:rFonts w:ascii="Verdana" w:hAnsi="Verdana" w:cstheme="minorHAnsi"/>
          <w:i/>
          <w:iCs/>
          <w:bdr w:val="none" w:sz="0" w:space="0" w:color="auto" w:frame="1"/>
          <w:shd w:val="clear" w:color="auto" w:fill="FFFFFF"/>
          <w:lang w:val="ca-ES"/>
        </w:rPr>
        <w:t xml:space="preserve"> “ </w:t>
      </w:r>
      <w:proofErr w:type="spellStart"/>
      <w:r w:rsidRPr="00691818">
        <w:rPr>
          <w:rFonts w:ascii="Verdana" w:hAnsi="Verdana" w:cstheme="minorHAnsi"/>
          <w:bdr w:val="none" w:sz="0" w:space="0" w:color="auto" w:frame="1"/>
          <w:shd w:val="clear" w:color="auto" w:fill="FFFFFF"/>
          <w:lang w:val="ca-ES"/>
        </w:rPr>
        <w:t>Contre</w:t>
      </w:r>
      <w:proofErr w:type="spellEnd"/>
      <w:r w:rsidRPr="00691818">
        <w:rPr>
          <w:rFonts w:ascii="Verdana" w:hAnsi="Verdana" w:cstheme="minorHAnsi"/>
          <w:bdr w:val="none" w:sz="0" w:space="0" w:color="auto" w:frame="1"/>
          <w:shd w:val="clear" w:color="auto" w:fill="FFFFFF"/>
          <w:lang w:val="ca-ES"/>
        </w:rPr>
        <w:t xml:space="preserve"> vents et </w:t>
      </w:r>
      <w:proofErr w:type="spellStart"/>
      <w:r w:rsidRPr="00691818">
        <w:rPr>
          <w:rFonts w:ascii="Verdana" w:hAnsi="Verdana" w:cstheme="minorHAnsi"/>
          <w:bdr w:val="none" w:sz="0" w:space="0" w:color="auto" w:frame="1"/>
          <w:shd w:val="clear" w:color="auto" w:fill="FFFFFF"/>
          <w:lang w:val="ca-ES"/>
        </w:rPr>
        <w:t>marées</w:t>
      </w:r>
      <w:proofErr w:type="spellEnd"/>
      <w:r w:rsidRPr="00691818">
        <w:rPr>
          <w:rFonts w:ascii="Verdana" w:hAnsi="Verdana" w:cstheme="minorHAnsi"/>
          <w:bdr w:val="none" w:sz="0" w:space="0" w:color="auto" w:frame="1"/>
          <w:shd w:val="clear" w:color="auto" w:fill="FFFFFF"/>
          <w:lang w:val="ca-ES"/>
        </w:rPr>
        <w:t xml:space="preserve"> : </w:t>
      </w:r>
      <w:proofErr w:type="spellStart"/>
      <w:r w:rsidRPr="00691818">
        <w:rPr>
          <w:rFonts w:ascii="Verdana" w:hAnsi="Verdana" w:cstheme="minorHAnsi"/>
          <w:bdr w:val="none" w:sz="0" w:space="0" w:color="auto" w:frame="1"/>
          <w:shd w:val="clear" w:color="auto" w:fill="FFFFFF"/>
          <w:lang w:val="ca-ES"/>
        </w:rPr>
        <w:t>le</w:t>
      </w:r>
      <w:proofErr w:type="spellEnd"/>
      <w:r w:rsidRPr="00691818">
        <w:rPr>
          <w:rFonts w:ascii="Verdana" w:hAnsi="Verdana" w:cstheme="minorHAnsi"/>
          <w:bdr w:val="none" w:sz="0" w:space="0" w:color="auto" w:frame="1"/>
          <w:shd w:val="clear" w:color="auto" w:fill="FFFFFF"/>
          <w:lang w:val="ca-ES"/>
        </w:rPr>
        <w:t xml:space="preserve"> </w:t>
      </w:r>
      <w:proofErr w:type="spellStart"/>
      <w:r w:rsidRPr="00691818">
        <w:rPr>
          <w:rFonts w:ascii="Verdana" w:hAnsi="Verdana" w:cstheme="minorHAnsi"/>
          <w:bdr w:val="none" w:sz="0" w:space="0" w:color="auto" w:frame="1"/>
          <w:shd w:val="clear" w:color="auto" w:fill="FFFFFF"/>
          <w:lang w:val="ca-ES"/>
        </w:rPr>
        <w:t>délégué</w:t>
      </w:r>
      <w:proofErr w:type="spellEnd"/>
      <w:r w:rsidRPr="00691818">
        <w:rPr>
          <w:rFonts w:ascii="Verdana" w:hAnsi="Verdana" w:cstheme="minorHAnsi"/>
          <w:bdr w:val="none" w:sz="0" w:space="0" w:color="auto" w:frame="1"/>
          <w:shd w:val="clear" w:color="auto" w:fill="FFFFFF"/>
          <w:lang w:val="ca-ES"/>
        </w:rPr>
        <w:t xml:space="preserve"> au </w:t>
      </w:r>
      <w:proofErr w:type="spellStart"/>
      <w:r w:rsidRPr="00691818">
        <w:rPr>
          <w:rFonts w:ascii="Verdana" w:hAnsi="Verdana" w:cstheme="minorHAnsi"/>
          <w:bdr w:val="none" w:sz="0" w:space="0" w:color="auto" w:frame="1"/>
          <w:shd w:val="clear" w:color="auto" w:fill="FFFFFF"/>
          <w:lang w:val="ca-ES"/>
        </w:rPr>
        <w:t>cœur</w:t>
      </w:r>
      <w:proofErr w:type="spellEnd"/>
      <w:r w:rsidRPr="00691818">
        <w:rPr>
          <w:rFonts w:ascii="Verdana" w:hAnsi="Verdana" w:cstheme="minorHAnsi"/>
          <w:bdr w:val="none" w:sz="0" w:space="0" w:color="auto" w:frame="1"/>
          <w:shd w:val="clear" w:color="auto" w:fill="FFFFFF"/>
          <w:lang w:val="ca-ES"/>
        </w:rPr>
        <w:t xml:space="preserve"> du </w:t>
      </w:r>
      <w:proofErr w:type="spellStart"/>
      <w:r w:rsidRPr="00691818">
        <w:rPr>
          <w:rFonts w:ascii="Verdana" w:hAnsi="Verdana" w:cstheme="minorHAnsi"/>
          <w:bdr w:val="none" w:sz="0" w:space="0" w:color="auto" w:frame="1"/>
          <w:shd w:val="clear" w:color="auto" w:fill="FFFFFF"/>
          <w:lang w:val="ca-ES"/>
        </w:rPr>
        <w:t>renouveau</w:t>
      </w:r>
      <w:proofErr w:type="spellEnd"/>
      <w:r w:rsidRPr="00691818">
        <w:rPr>
          <w:rFonts w:ascii="Verdana" w:hAnsi="Verdana" w:cstheme="minorHAnsi"/>
          <w:bdr w:val="none" w:sz="0" w:space="0" w:color="auto" w:frame="1"/>
          <w:shd w:val="clear" w:color="auto" w:fill="FFFFFF"/>
          <w:lang w:val="ca-ES"/>
        </w:rPr>
        <w:t xml:space="preserve"> </w:t>
      </w:r>
      <w:proofErr w:type="spellStart"/>
      <w:r w:rsidRPr="00691818">
        <w:rPr>
          <w:rFonts w:ascii="Verdana" w:hAnsi="Verdana" w:cstheme="minorHAnsi"/>
          <w:bdr w:val="none" w:sz="0" w:space="0" w:color="auto" w:frame="1"/>
          <w:shd w:val="clear" w:color="auto" w:fill="FFFFFF"/>
          <w:lang w:val="ca-ES"/>
        </w:rPr>
        <w:t>syndical</w:t>
      </w:r>
      <w:proofErr w:type="spellEnd"/>
      <w:r w:rsidRPr="00691818">
        <w:rPr>
          <w:rFonts w:ascii="Verdana" w:hAnsi="Verdana" w:cstheme="minorHAnsi"/>
          <w:lang w:val="fr-FR"/>
        </w:rPr>
        <w:t xml:space="preserve">". </w:t>
      </w:r>
      <w:r w:rsidRPr="00691818">
        <w:rPr>
          <w:rFonts w:ascii="Verdana" w:hAnsi="Verdana" w:cstheme="minorHAnsi"/>
          <w:bCs/>
          <w:lang w:val="ca-ES"/>
        </w:rPr>
        <w:t xml:space="preserve">En </w:t>
      </w:r>
      <w:r w:rsidRPr="00691818">
        <w:rPr>
          <w:rFonts w:ascii="Verdana" w:hAnsi="Verdana" w:cstheme="minorHAnsi"/>
          <w:i/>
          <w:color w:val="333333"/>
          <w:lang w:val="fr-FR"/>
        </w:rPr>
        <w:t>Revue de l’IRES</w:t>
      </w:r>
      <w:r w:rsidRPr="00691818">
        <w:rPr>
          <w:rFonts w:ascii="Verdana" w:hAnsi="Verdana" w:cstheme="minorHAnsi"/>
          <w:lang w:val="fr-FR"/>
        </w:rPr>
        <w:t xml:space="preserve">, vol. 68, </w:t>
      </w:r>
      <w:proofErr w:type="spellStart"/>
      <w:r w:rsidRPr="00691818">
        <w:rPr>
          <w:rFonts w:ascii="Verdana" w:hAnsi="Verdana" w:cstheme="minorHAnsi"/>
          <w:lang w:val="fr-FR"/>
        </w:rPr>
        <w:t>núm</w:t>
      </w:r>
      <w:proofErr w:type="spellEnd"/>
      <w:r w:rsidRPr="00691818">
        <w:rPr>
          <w:rFonts w:ascii="Verdana" w:hAnsi="Verdana" w:cstheme="minorHAnsi"/>
          <w:lang w:val="fr-FR"/>
        </w:rPr>
        <w:t xml:space="preserve">. 1, pp. </w:t>
      </w:r>
      <w:r w:rsidRPr="00691818">
        <w:rPr>
          <w:rFonts w:ascii="Verdana" w:hAnsi="Verdana" w:cstheme="minorHAnsi"/>
          <w:lang w:val="ca-ES"/>
        </w:rPr>
        <w:t>142-171.</w:t>
      </w:r>
    </w:p>
    <w:p w:rsidR="00691818" w:rsidRPr="00691818" w:rsidRDefault="00691818" w:rsidP="00691818">
      <w:pPr>
        <w:spacing w:line="23" w:lineRule="atLeast"/>
        <w:jc w:val="both"/>
        <w:rPr>
          <w:rFonts w:ascii="Verdana" w:eastAsia="Times New Roman" w:hAnsi="Verdana"/>
          <w:lang w:val="fr-FR" w:eastAsia="es-ES"/>
        </w:rPr>
      </w:pPr>
      <w:r w:rsidRPr="00691818">
        <w:rPr>
          <w:rFonts w:ascii="Verdana" w:eastAsia="Times New Roman" w:hAnsi="Verdana" w:cs="Arial"/>
          <w:lang w:val="fr-FR" w:eastAsia="es-ES"/>
        </w:rPr>
        <w:t>Le Capitaine, C.; Murray, G.; Lévesque, C. (2013): “</w:t>
      </w:r>
      <w:proofErr w:type="spellStart"/>
      <w:r w:rsidRPr="00691818">
        <w:rPr>
          <w:rFonts w:ascii="Verdana" w:eastAsia="Times New Roman" w:hAnsi="Verdana" w:cs="Arial"/>
          <w:lang w:val="fr-FR" w:eastAsia="es-ES"/>
        </w:rPr>
        <w:t>Empowerment</w:t>
      </w:r>
      <w:proofErr w:type="spellEnd"/>
      <w:r w:rsidRPr="00691818">
        <w:rPr>
          <w:rFonts w:ascii="Verdana" w:eastAsia="Times New Roman" w:hAnsi="Verdana" w:cs="Arial"/>
          <w:lang w:val="fr-FR" w:eastAsia="es-ES"/>
        </w:rPr>
        <w:t xml:space="preserve"> and union </w:t>
      </w:r>
      <w:proofErr w:type="spellStart"/>
      <w:r w:rsidRPr="00691818">
        <w:rPr>
          <w:rFonts w:ascii="Verdana" w:eastAsia="Times New Roman" w:hAnsi="Verdana" w:cs="Arial"/>
          <w:lang w:val="fr-FR" w:eastAsia="es-ES"/>
        </w:rPr>
        <w:t>workplace</w:t>
      </w:r>
      <w:proofErr w:type="spellEnd"/>
      <w:r w:rsidRPr="00691818">
        <w:rPr>
          <w:rFonts w:ascii="Verdana" w:eastAsia="Times New Roman" w:hAnsi="Verdana" w:cs="Arial"/>
          <w:lang w:val="fr-FR" w:eastAsia="es-ES"/>
        </w:rPr>
        <w:t xml:space="preserve"> </w:t>
      </w:r>
      <w:proofErr w:type="spellStart"/>
      <w:r w:rsidRPr="00691818">
        <w:rPr>
          <w:rFonts w:ascii="Verdana" w:eastAsia="Times New Roman" w:hAnsi="Verdana" w:cs="Arial"/>
          <w:lang w:val="fr-FR" w:eastAsia="es-ES"/>
        </w:rPr>
        <w:t>delegates</w:t>
      </w:r>
      <w:proofErr w:type="spellEnd"/>
      <w:r w:rsidRPr="00691818">
        <w:rPr>
          <w:rFonts w:ascii="Verdana" w:eastAsia="Times New Roman" w:hAnsi="Verdana" w:cs="Arial"/>
          <w:lang w:val="fr-FR" w:eastAsia="es-ES"/>
        </w:rPr>
        <w:t xml:space="preserve">: </w:t>
      </w:r>
      <w:proofErr w:type="spellStart"/>
      <w:r w:rsidRPr="00691818">
        <w:rPr>
          <w:rFonts w:ascii="Verdana" w:eastAsia="Times New Roman" w:hAnsi="Verdana" w:cs="Arial"/>
          <w:lang w:val="fr-FR" w:eastAsia="es-ES"/>
        </w:rPr>
        <w:t>a</w:t>
      </w:r>
      <w:proofErr w:type="spellEnd"/>
      <w:r w:rsidRPr="00691818">
        <w:rPr>
          <w:rFonts w:ascii="Verdana" w:eastAsia="Times New Roman" w:hAnsi="Verdana" w:cs="Arial"/>
          <w:lang w:val="fr-FR" w:eastAsia="es-ES"/>
        </w:rPr>
        <w:t xml:space="preserve"> </w:t>
      </w:r>
      <w:proofErr w:type="spellStart"/>
      <w:r w:rsidRPr="00691818">
        <w:rPr>
          <w:rFonts w:ascii="Verdana" w:eastAsia="Times New Roman" w:hAnsi="Verdana" w:cs="Arial"/>
          <w:lang w:val="fr-FR" w:eastAsia="es-ES"/>
        </w:rPr>
        <w:t>gendered</w:t>
      </w:r>
      <w:proofErr w:type="spellEnd"/>
      <w:r w:rsidRPr="00691818">
        <w:rPr>
          <w:rFonts w:ascii="Verdana" w:eastAsia="Times New Roman" w:hAnsi="Verdana" w:cs="Arial"/>
          <w:lang w:val="fr-FR" w:eastAsia="es-ES"/>
        </w:rPr>
        <w:t xml:space="preserve"> </w:t>
      </w:r>
      <w:proofErr w:type="spellStart"/>
      <w:r w:rsidRPr="00691818">
        <w:rPr>
          <w:rFonts w:ascii="Verdana" w:eastAsia="Times New Roman" w:hAnsi="Verdana" w:cs="Arial"/>
          <w:lang w:val="fr-FR" w:eastAsia="es-ES"/>
        </w:rPr>
        <w:t>analysis</w:t>
      </w:r>
      <w:proofErr w:type="spellEnd"/>
      <w:r w:rsidRPr="00691818">
        <w:rPr>
          <w:rFonts w:ascii="Verdana" w:eastAsia="Times New Roman" w:hAnsi="Verdana" w:cs="Arial"/>
          <w:lang w:val="fr-FR" w:eastAsia="es-ES"/>
        </w:rPr>
        <w:t xml:space="preserve">”. En </w:t>
      </w:r>
      <w:proofErr w:type="spellStart"/>
      <w:r w:rsidRPr="00691818">
        <w:rPr>
          <w:rFonts w:ascii="Verdana" w:eastAsia="Times New Roman" w:hAnsi="Verdana" w:cs="Arial"/>
          <w:i/>
          <w:lang w:val="fr-FR" w:eastAsia="es-ES"/>
        </w:rPr>
        <w:t>Industrial</w:t>
      </w:r>
      <w:proofErr w:type="spellEnd"/>
      <w:r w:rsidRPr="00691818">
        <w:rPr>
          <w:rFonts w:ascii="Verdana" w:eastAsia="Times New Roman" w:hAnsi="Verdana" w:cs="Arial"/>
          <w:i/>
          <w:lang w:val="fr-FR" w:eastAsia="es-ES"/>
        </w:rPr>
        <w:t xml:space="preserve"> Relations Journal,</w:t>
      </w:r>
      <w:r w:rsidRPr="00691818">
        <w:rPr>
          <w:rFonts w:ascii="Verdana" w:eastAsia="Times New Roman" w:hAnsi="Verdana" w:cs="Arial"/>
          <w:lang w:val="fr-FR" w:eastAsia="es-ES"/>
        </w:rPr>
        <w:t xml:space="preserve"> vol. 44, </w:t>
      </w:r>
      <w:proofErr w:type="spellStart"/>
      <w:r w:rsidRPr="00691818">
        <w:rPr>
          <w:rFonts w:ascii="Verdana" w:eastAsia="Times New Roman" w:hAnsi="Verdana" w:cs="Arial"/>
          <w:lang w:val="fr-FR" w:eastAsia="es-ES"/>
        </w:rPr>
        <w:t>núm</w:t>
      </w:r>
      <w:proofErr w:type="spellEnd"/>
      <w:r w:rsidRPr="00691818">
        <w:rPr>
          <w:rFonts w:ascii="Verdana" w:eastAsia="Times New Roman" w:hAnsi="Verdana" w:cs="Arial"/>
          <w:lang w:val="fr-FR" w:eastAsia="es-ES"/>
        </w:rPr>
        <w:t xml:space="preserve">. 4, </w:t>
      </w:r>
      <w:hyperlink r:id="rId22" w:history="1">
        <w:r w:rsidRPr="00691818">
          <w:rPr>
            <w:rFonts w:ascii="Verdana" w:eastAsia="Times New Roman" w:hAnsi="Verdana" w:cs="Arial"/>
            <w:bCs/>
            <w:lang w:val="fr-FR" w:eastAsia="es-ES"/>
          </w:rPr>
          <w:t> pp. 389–408</w:t>
        </w:r>
      </w:hyperlink>
      <w:r w:rsidRPr="00691818">
        <w:rPr>
          <w:rFonts w:ascii="Verdana" w:hAnsi="Verdana"/>
          <w:lang w:val="fr-FR"/>
        </w:rPr>
        <w:t>.</w:t>
      </w:r>
    </w:p>
    <w:p w:rsidR="00691818" w:rsidRPr="00691818" w:rsidRDefault="00691818" w:rsidP="00691818">
      <w:pPr>
        <w:spacing w:line="23" w:lineRule="atLeast"/>
        <w:jc w:val="both"/>
        <w:rPr>
          <w:rFonts w:ascii="Verdana" w:hAnsi="Verdana"/>
          <w:lang w:val="en-US"/>
        </w:rPr>
      </w:pPr>
      <w:proofErr w:type="spellStart"/>
      <w:r w:rsidRPr="00691818">
        <w:rPr>
          <w:rFonts w:ascii="Verdana" w:hAnsi="Verdana"/>
          <w:lang w:val="ca-ES"/>
        </w:rPr>
        <w:t>Lévesque</w:t>
      </w:r>
      <w:proofErr w:type="spellEnd"/>
      <w:r w:rsidRPr="00691818">
        <w:rPr>
          <w:rFonts w:ascii="Verdana" w:hAnsi="Verdana"/>
          <w:lang w:val="ca-ES"/>
        </w:rPr>
        <w:t xml:space="preserve">, C.; Murray, G.; Le </w:t>
      </w:r>
      <w:proofErr w:type="spellStart"/>
      <w:r w:rsidRPr="00691818">
        <w:rPr>
          <w:rFonts w:ascii="Verdana" w:hAnsi="Verdana"/>
          <w:lang w:val="ca-ES"/>
        </w:rPr>
        <w:t>Queux</w:t>
      </w:r>
      <w:proofErr w:type="spellEnd"/>
      <w:r w:rsidRPr="00691818">
        <w:rPr>
          <w:rFonts w:ascii="Verdana" w:hAnsi="Verdana"/>
          <w:lang w:val="ca-ES"/>
        </w:rPr>
        <w:t>, S. (</w:t>
      </w:r>
      <w:r w:rsidRPr="00691818">
        <w:rPr>
          <w:rFonts w:ascii="Verdana" w:hAnsi="Verdana"/>
          <w:lang w:val="fr-FR"/>
        </w:rPr>
        <w:t>2005</w:t>
      </w:r>
      <w:r w:rsidRPr="00691818">
        <w:rPr>
          <w:rFonts w:ascii="Verdana" w:eastAsia="Times New Roman" w:hAnsi="Verdana" w:cs="Arial"/>
          <w:lang w:val="fr-FR" w:eastAsia="es-ES"/>
        </w:rPr>
        <w:t>): “</w:t>
      </w:r>
      <w:r w:rsidRPr="00691818">
        <w:rPr>
          <w:rFonts w:ascii="Verdana" w:hAnsi="Verdana"/>
          <w:lang w:val="fr-FR"/>
        </w:rPr>
        <w:t xml:space="preserve">Union </w:t>
      </w:r>
      <w:proofErr w:type="spellStart"/>
      <w:r w:rsidRPr="00691818">
        <w:rPr>
          <w:rFonts w:ascii="Verdana" w:hAnsi="Verdana"/>
          <w:lang w:val="fr-FR"/>
        </w:rPr>
        <w:t>Disaffection</w:t>
      </w:r>
      <w:proofErr w:type="spellEnd"/>
      <w:r w:rsidRPr="00691818">
        <w:rPr>
          <w:rFonts w:ascii="Verdana" w:hAnsi="Verdana"/>
          <w:lang w:val="fr-FR"/>
        </w:rPr>
        <w:t xml:space="preserve"> and Social </w:t>
      </w:r>
      <w:proofErr w:type="spellStart"/>
      <w:r w:rsidRPr="00691818">
        <w:rPr>
          <w:rFonts w:ascii="Verdana" w:hAnsi="Verdana"/>
          <w:lang w:val="fr-FR"/>
        </w:rPr>
        <w:t>Identity</w:t>
      </w:r>
      <w:proofErr w:type="spellEnd"/>
      <w:r w:rsidRPr="00691818">
        <w:rPr>
          <w:rFonts w:ascii="Verdana" w:hAnsi="Verdana"/>
          <w:lang w:val="fr-FR"/>
        </w:rPr>
        <w:t xml:space="preserve">. </w:t>
      </w:r>
      <w:proofErr w:type="gramStart"/>
      <w:r w:rsidRPr="00691818">
        <w:rPr>
          <w:rFonts w:ascii="Verdana" w:hAnsi="Verdana"/>
          <w:lang w:val="en-US"/>
        </w:rPr>
        <w:t>Democracy as a Source of Union Revitalization</w:t>
      </w:r>
      <w:r w:rsidRPr="00691818">
        <w:rPr>
          <w:rFonts w:ascii="Verdana" w:eastAsia="Times New Roman" w:hAnsi="Verdana" w:cs="Arial"/>
          <w:lang w:val="en-US" w:eastAsia="es-ES"/>
        </w:rPr>
        <w:t>”.</w:t>
      </w:r>
      <w:proofErr w:type="gramEnd"/>
      <w:r w:rsidRPr="00691818">
        <w:rPr>
          <w:rFonts w:ascii="Verdana" w:eastAsia="Times New Roman" w:hAnsi="Verdana" w:cs="Arial"/>
          <w:lang w:val="en-US" w:eastAsia="es-ES"/>
        </w:rPr>
        <w:t xml:space="preserve"> </w:t>
      </w:r>
      <w:proofErr w:type="spellStart"/>
      <w:proofErr w:type="gramStart"/>
      <w:r w:rsidRPr="00691818">
        <w:rPr>
          <w:rFonts w:ascii="Verdana" w:eastAsia="Times New Roman" w:hAnsi="Verdana" w:cs="Arial"/>
          <w:lang w:val="en-US" w:eastAsia="es-ES"/>
        </w:rPr>
        <w:t>En</w:t>
      </w:r>
      <w:proofErr w:type="spellEnd"/>
      <w:r w:rsidRPr="00691818">
        <w:rPr>
          <w:rFonts w:ascii="Verdana" w:hAnsi="Verdana"/>
          <w:lang w:val="en-US"/>
        </w:rPr>
        <w:t xml:space="preserve"> </w:t>
      </w:r>
      <w:r w:rsidRPr="00691818">
        <w:rPr>
          <w:rFonts w:ascii="Verdana" w:hAnsi="Verdana"/>
          <w:i/>
          <w:lang w:val="en-US"/>
        </w:rPr>
        <w:t>Work and Occupations</w:t>
      </w:r>
      <w:r w:rsidRPr="00691818">
        <w:rPr>
          <w:rFonts w:ascii="Verdana" w:hAnsi="Verdana"/>
          <w:lang w:val="en-US"/>
        </w:rPr>
        <w:t xml:space="preserve">, vol. 32, </w:t>
      </w:r>
      <w:proofErr w:type="spellStart"/>
      <w:r w:rsidRPr="00691818">
        <w:rPr>
          <w:rFonts w:ascii="Verdana" w:hAnsi="Verdana"/>
          <w:lang w:val="en-US"/>
        </w:rPr>
        <w:t>núm</w:t>
      </w:r>
      <w:proofErr w:type="spellEnd"/>
      <w:r w:rsidRPr="00691818">
        <w:rPr>
          <w:rFonts w:ascii="Verdana" w:hAnsi="Verdana"/>
          <w:lang w:val="en-US"/>
        </w:rPr>
        <w:t>.</w:t>
      </w:r>
      <w:proofErr w:type="gramEnd"/>
      <w:r w:rsidRPr="00691818">
        <w:rPr>
          <w:rFonts w:ascii="Verdana" w:hAnsi="Verdana"/>
          <w:lang w:val="en-US"/>
        </w:rPr>
        <w:t xml:space="preserve"> 4, pp. 400-422.</w:t>
      </w:r>
    </w:p>
    <w:p w:rsidR="00691818" w:rsidRPr="00691818" w:rsidRDefault="00691818" w:rsidP="00691818">
      <w:pPr>
        <w:spacing w:line="23" w:lineRule="atLeast"/>
        <w:jc w:val="both"/>
        <w:rPr>
          <w:rFonts w:ascii="Verdana" w:hAnsi="Verdana"/>
        </w:rPr>
      </w:pPr>
      <w:r w:rsidRPr="00691818">
        <w:rPr>
          <w:rFonts w:ascii="Verdana" w:hAnsi="Verdana"/>
          <w:lang w:val="fr-FR"/>
        </w:rPr>
        <w:t xml:space="preserve">Lévesque, C.; Murray, G. (2010) : “Comprendre le pouvoir syndical: ressources et aptitudes stratégiques pour renouveler l'action syndicale”. </w:t>
      </w:r>
      <w:r w:rsidRPr="00691818">
        <w:rPr>
          <w:rFonts w:ascii="Verdana" w:hAnsi="Verdana"/>
        </w:rPr>
        <w:t xml:space="preserve">En </w:t>
      </w:r>
      <w:proofErr w:type="spellStart"/>
      <w:r w:rsidRPr="00691818">
        <w:rPr>
          <w:rFonts w:ascii="Verdana" w:hAnsi="Verdana"/>
          <w:i/>
        </w:rPr>
        <w:t>Revue</w:t>
      </w:r>
      <w:proofErr w:type="spellEnd"/>
      <w:r w:rsidRPr="00691818">
        <w:rPr>
          <w:rFonts w:ascii="Verdana" w:hAnsi="Verdana"/>
          <w:i/>
        </w:rPr>
        <w:t xml:space="preserve"> de </w:t>
      </w:r>
      <w:proofErr w:type="spellStart"/>
      <w:r w:rsidRPr="00691818">
        <w:rPr>
          <w:rFonts w:ascii="Verdana" w:hAnsi="Verdana"/>
          <w:i/>
        </w:rPr>
        <w:t>l'IRES</w:t>
      </w:r>
      <w:proofErr w:type="spellEnd"/>
      <w:r w:rsidRPr="00691818">
        <w:rPr>
          <w:rFonts w:ascii="Verdana" w:hAnsi="Verdana"/>
        </w:rPr>
        <w:t>, vol. 65, núm. 2, pp. 41-65.</w:t>
      </w:r>
    </w:p>
    <w:p w:rsidR="00691818" w:rsidRPr="00691818" w:rsidRDefault="00691818" w:rsidP="00691818">
      <w:pPr>
        <w:spacing w:line="23" w:lineRule="atLeast"/>
        <w:jc w:val="both"/>
        <w:rPr>
          <w:rFonts w:ascii="Verdana" w:eastAsia="Times New Roman" w:hAnsi="Verdana" w:cs="Arial"/>
          <w:lang w:val="en-US" w:eastAsia="es-ES"/>
        </w:rPr>
      </w:pPr>
      <w:proofErr w:type="spellStart"/>
      <w:r w:rsidRPr="00691818">
        <w:rPr>
          <w:rFonts w:ascii="Verdana" w:eastAsia="Times New Roman" w:hAnsi="Verdana" w:cs="Arial"/>
          <w:lang w:val="en-US" w:eastAsia="es-ES"/>
        </w:rPr>
        <w:t>Lindbeck</w:t>
      </w:r>
      <w:proofErr w:type="spellEnd"/>
      <w:r w:rsidRPr="00691818">
        <w:rPr>
          <w:rFonts w:ascii="Verdana" w:eastAsia="Times New Roman" w:hAnsi="Verdana" w:cs="Arial"/>
          <w:lang w:val="en-US" w:eastAsia="es-ES"/>
        </w:rPr>
        <w:t xml:space="preserve">, A.; </w:t>
      </w:r>
      <w:proofErr w:type="spellStart"/>
      <w:r w:rsidRPr="00691818">
        <w:rPr>
          <w:rFonts w:ascii="Verdana" w:eastAsia="Times New Roman" w:hAnsi="Verdana" w:cs="Arial"/>
          <w:lang w:val="en-US" w:eastAsia="es-ES"/>
        </w:rPr>
        <w:t>Snower</w:t>
      </w:r>
      <w:proofErr w:type="spellEnd"/>
      <w:r w:rsidRPr="00691818">
        <w:rPr>
          <w:rFonts w:ascii="Verdana" w:eastAsia="Times New Roman" w:hAnsi="Verdana" w:cs="Arial"/>
          <w:lang w:val="en-US" w:eastAsia="es-ES"/>
        </w:rPr>
        <w:t xml:space="preserve">, D. (1988): </w:t>
      </w:r>
      <w:r w:rsidRPr="00691818">
        <w:rPr>
          <w:rFonts w:ascii="Verdana" w:eastAsia="Times New Roman" w:hAnsi="Verdana" w:cs="Arial"/>
          <w:i/>
          <w:lang w:val="en-US" w:eastAsia="es-ES"/>
        </w:rPr>
        <w:t>The Insider-Outsider Theory of Employment and Unemployment</w:t>
      </w:r>
      <w:r w:rsidRPr="00691818">
        <w:rPr>
          <w:rFonts w:ascii="Verdana" w:eastAsia="Times New Roman" w:hAnsi="Verdana" w:cs="Arial"/>
          <w:lang w:val="en-US" w:eastAsia="es-ES"/>
        </w:rPr>
        <w:t>. Cambridge: MIT Press.</w:t>
      </w:r>
    </w:p>
    <w:p w:rsidR="00691818" w:rsidRPr="00691818" w:rsidRDefault="00691818" w:rsidP="00691818">
      <w:pPr>
        <w:spacing w:line="23" w:lineRule="atLeast"/>
        <w:jc w:val="both"/>
        <w:rPr>
          <w:rFonts w:ascii="Verdana" w:hAnsi="Verdana" w:cstheme="minorHAnsi"/>
          <w:lang w:val="en-US"/>
        </w:rPr>
      </w:pPr>
      <w:proofErr w:type="spellStart"/>
      <w:r w:rsidRPr="00691818">
        <w:rPr>
          <w:rFonts w:ascii="Verdana" w:hAnsi="Verdana" w:cstheme="minorHAnsi"/>
          <w:highlight w:val="lightGray"/>
          <w:lang w:val="en-US"/>
        </w:rPr>
        <w:t>Malo</w:t>
      </w:r>
      <w:proofErr w:type="spellEnd"/>
      <w:r w:rsidRPr="00691818">
        <w:rPr>
          <w:rFonts w:ascii="Verdana" w:hAnsi="Verdana" w:cstheme="minorHAnsi"/>
          <w:highlight w:val="lightGray"/>
          <w:lang w:val="en-US"/>
        </w:rPr>
        <w:t xml:space="preserve"> (2002):</w:t>
      </w:r>
    </w:p>
    <w:p w:rsidR="00691818" w:rsidRPr="00691818" w:rsidRDefault="00691818" w:rsidP="00691818">
      <w:pPr>
        <w:spacing w:line="23" w:lineRule="atLeast"/>
        <w:jc w:val="both"/>
        <w:rPr>
          <w:rFonts w:ascii="Verdana" w:hAnsi="Verdana" w:cstheme="minorHAnsi"/>
          <w:i/>
          <w:iCs/>
        </w:rPr>
      </w:pPr>
      <w:r w:rsidRPr="00691818">
        <w:rPr>
          <w:rFonts w:ascii="Verdana" w:hAnsi="Verdana" w:cstheme="minorHAnsi"/>
          <w:lang w:val="en-US"/>
        </w:rPr>
        <w:t>Martinez, A.D.;</w:t>
      </w:r>
      <w:r w:rsidRPr="00691818">
        <w:rPr>
          <w:rFonts w:ascii="Verdana" w:hAnsi="Verdana" w:cstheme="minorHAnsi"/>
          <w:i/>
          <w:iCs/>
          <w:lang w:val="en-US"/>
        </w:rPr>
        <w:t xml:space="preserve"> </w:t>
      </w:r>
      <w:proofErr w:type="spellStart"/>
      <w:r w:rsidRPr="00691818">
        <w:rPr>
          <w:rFonts w:ascii="Verdana" w:hAnsi="Verdana" w:cstheme="minorHAnsi"/>
          <w:lang w:val="en-US"/>
        </w:rPr>
        <w:t>Fiorito</w:t>
      </w:r>
      <w:proofErr w:type="spellEnd"/>
      <w:r w:rsidRPr="00691818">
        <w:rPr>
          <w:rFonts w:ascii="Verdana" w:hAnsi="Verdana" w:cstheme="minorHAnsi"/>
          <w:lang w:val="en-US"/>
        </w:rPr>
        <w:t xml:space="preserve">, J. (2008): “General Feelings </w:t>
      </w:r>
      <w:proofErr w:type="gramStart"/>
      <w:r w:rsidRPr="00691818">
        <w:rPr>
          <w:rFonts w:ascii="Verdana" w:hAnsi="Verdana" w:cstheme="minorHAnsi"/>
          <w:lang w:val="en-US"/>
        </w:rPr>
        <w:t>Toward</w:t>
      </w:r>
      <w:proofErr w:type="gramEnd"/>
      <w:r w:rsidRPr="00691818">
        <w:rPr>
          <w:rFonts w:ascii="Verdana" w:hAnsi="Verdana" w:cstheme="minorHAnsi"/>
          <w:lang w:val="en-US"/>
        </w:rPr>
        <w:t xml:space="preserve"> Unions and Employers as Predictors of Union Voting Intent”. </w:t>
      </w:r>
      <w:r w:rsidRPr="00691818">
        <w:rPr>
          <w:rFonts w:ascii="Verdana" w:hAnsi="Verdana" w:cstheme="minorHAnsi"/>
        </w:rPr>
        <w:t xml:space="preserve">En </w:t>
      </w:r>
      <w:proofErr w:type="spellStart"/>
      <w:r w:rsidRPr="00691818">
        <w:rPr>
          <w:rFonts w:ascii="Verdana" w:hAnsi="Verdana" w:cstheme="minorHAnsi"/>
          <w:i/>
        </w:rPr>
        <w:t>Journal</w:t>
      </w:r>
      <w:proofErr w:type="spellEnd"/>
      <w:r w:rsidRPr="00691818">
        <w:rPr>
          <w:rFonts w:ascii="Verdana" w:hAnsi="Verdana" w:cstheme="minorHAnsi"/>
          <w:i/>
        </w:rPr>
        <w:t xml:space="preserve"> of Labor </w:t>
      </w:r>
      <w:proofErr w:type="spellStart"/>
      <w:r w:rsidRPr="00691818">
        <w:rPr>
          <w:rFonts w:ascii="Verdana" w:hAnsi="Verdana" w:cstheme="minorHAnsi"/>
          <w:i/>
        </w:rPr>
        <w:t>Research</w:t>
      </w:r>
      <w:proofErr w:type="spellEnd"/>
      <w:r w:rsidRPr="00691818">
        <w:rPr>
          <w:rFonts w:ascii="Verdana" w:hAnsi="Verdana" w:cstheme="minorHAnsi"/>
        </w:rPr>
        <w:t>, vol. 30, núm. 2, pp. 120–134.</w:t>
      </w:r>
    </w:p>
    <w:p w:rsidR="00691818" w:rsidRPr="00691818" w:rsidRDefault="00691818" w:rsidP="00691818">
      <w:pPr>
        <w:spacing w:line="23" w:lineRule="atLeast"/>
        <w:jc w:val="both"/>
        <w:rPr>
          <w:rFonts w:ascii="Verdana" w:hAnsi="Verdana" w:cstheme="minorHAnsi"/>
          <w:iCs/>
        </w:rPr>
      </w:pPr>
      <w:r w:rsidRPr="00691818">
        <w:rPr>
          <w:rFonts w:ascii="Verdana" w:hAnsi="Verdana" w:cs="Arial"/>
          <w:shd w:val="clear" w:color="auto" w:fill="FFFFFF"/>
          <w:lang w:val="es-ES_tradnl"/>
        </w:rPr>
        <w:t xml:space="preserve">Martínez Lucio, M. (2011): “El contexto de las relaciones laborales: las consecuencias para la gestión de los recursos humanos en España”. En M.C. González Menéndez, R. Gutiérrez Palacios y M. Martínez Lucio (eds.), </w:t>
      </w:r>
      <w:r w:rsidRPr="00691818">
        <w:rPr>
          <w:rFonts w:ascii="Verdana" w:hAnsi="Verdana" w:cs="Arial"/>
          <w:i/>
          <w:shd w:val="clear" w:color="auto" w:fill="FFFFFF"/>
          <w:lang w:val="es-ES_tradnl"/>
        </w:rPr>
        <w:t xml:space="preserve">Gestión de Recursos Humanos. </w:t>
      </w:r>
      <w:r w:rsidRPr="00691818">
        <w:rPr>
          <w:rFonts w:ascii="Verdana" w:hAnsi="Verdana" w:cs="Arial"/>
          <w:i/>
          <w:shd w:val="clear" w:color="auto" w:fill="FFFFFF"/>
        </w:rPr>
        <w:t>Contexto y Políticas</w:t>
      </w:r>
      <w:r w:rsidRPr="00691818">
        <w:rPr>
          <w:rFonts w:ascii="Verdana" w:hAnsi="Verdana" w:cs="Arial"/>
          <w:shd w:val="clear" w:color="auto" w:fill="FFFFFF"/>
        </w:rPr>
        <w:t>. Pamplona: Thomson-</w:t>
      </w:r>
      <w:proofErr w:type="spellStart"/>
      <w:r w:rsidRPr="00691818">
        <w:rPr>
          <w:rFonts w:ascii="Verdana" w:hAnsi="Verdana" w:cs="Arial"/>
          <w:shd w:val="clear" w:color="auto" w:fill="FFFFFF"/>
        </w:rPr>
        <w:t>Cívitas</w:t>
      </w:r>
      <w:proofErr w:type="spellEnd"/>
      <w:r w:rsidRPr="00691818">
        <w:rPr>
          <w:rFonts w:ascii="Verdana" w:hAnsi="Verdana" w:cs="Arial"/>
          <w:shd w:val="clear" w:color="auto" w:fill="FFFFFF"/>
        </w:rPr>
        <w:t>, pp. 327-341.</w:t>
      </w:r>
    </w:p>
    <w:p w:rsidR="00691818" w:rsidRPr="00691818" w:rsidRDefault="00691818" w:rsidP="00691818">
      <w:pPr>
        <w:jc w:val="both"/>
        <w:rPr>
          <w:rFonts w:ascii="Verdana" w:hAnsi="Verdana"/>
          <w:lang w:val="en-US"/>
        </w:rPr>
      </w:pPr>
      <w:proofErr w:type="spellStart"/>
      <w:r w:rsidRPr="00691818">
        <w:rPr>
          <w:rFonts w:ascii="Verdana" w:hAnsi="Verdana"/>
        </w:rPr>
        <w:t>Miguélez</w:t>
      </w:r>
      <w:proofErr w:type="spellEnd"/>
      <w:r w:rsidRPr="00691818">
        <w:rPr>
          <w:rFonts w:ascii="Verdana" w:hAnsi="Verdana"/>
        </w:rPr>
        <w:t xml:space="preserve">, F. (1991): “Las organizaciones sindicales”. En F. </w:t>
      </w:r>
      <w:proofErr w:type="spellStart"/>
      <w:r w:rsidRPr="00691818">
        <w:rPr>
          <w:rFonts w:ascii="Verdana" w:hAnsi="Verdana"/>
        </w:rPr>
        <w:t>Miguélez</w:t>
      </w:r>
      <w:proofErr w:type="spellEnd"/>
      <w:r w:rsidRPr="00691818">
        <w:rPr>
          <w:rFonts w:ascii="Verdana" w:hAnsi="Verdana"/>
        </w:rPr>
        <w:t xml:space="preserve"> y C. Prieto (eds.), </w:t>
      </w:r>
      <w:r w:rsidRPr="00691818">
        <w:rPr>
          <w:rFonts w:ascii="Verdana" w:hAnsi="Verdana"/>
          <w:i/>
        </w:rPr>
        <w:t>Las relaciones laborales en España</w:t>
      </w:r>
      <w:r w:rsidRPr="00691818">
        <w:rPr>
          <w:rFonts w:ascii="Verdana" w:hAnsi="Verdana"/>
        </w:rPr>
        <w:t xml:space="preserve">. </w:t>
      </w:r>
      <w:r w:rsidRPr="00691818">
        <w:rPr>
          <w:rFonts w:ascii="Verdana" w:hAnsi="Verdana"/>
          <w:lang w:val="en-US"/>
        </w:rPr>
        <w:t xml:space="preserve">Madrid: </w:t>
      </w:r>
      <w:proofErr w:type="spellStart"/>
      <w:r w:rsidRPr="00691818">
        <w:rPr>
          <w:rFonts w:ascii="Verdana" w:hAnsi="Verdana"/>
          <w:lang w:val="en-US"/>
        </w:rPr>
        <w:t>Siglo</w:t>
      </w:r>
      <w:proofErr w:type="spellEnd"/>
      <w:r w:rsidRPr="00691818">
        <w:rPr>
          <w:rFonts w:ascii="Verdana" w:hAnsi="Verdana"/>
          <w:lang w:val="en-US"/>
        </w:rPr>
        <w:t xml:space="preserve"> XXI.</w:t>
      </w:r>
    </w:p>
    <w:p w:rsidR="00691818" w:rsidRPr="00691818" w:rsidRDefault="00691818" w:rsidP="00691818">
      <w:pPr>
        <w:jc w:val="both"/>
        <w:rPr>
          <w:rFonts w:ascii="Verdana" w:hAnsi="Verdana"/>
        </w:rPr>
      </w:pPr>
      <w:r w:rsidRPr="00691818">
        <w:rPr>
          <w:rFonts w:ascii="Verdana" w:hAnsi="Verdana"/>
          <w:lang w:val="en-US"/>
        </w:rPr>
        <w:t xml:space="preserve">Milner, S.; </w:t>
      </w:r>
      <w:proofErr w:type="spellStart"/>
      <w:r w:rsidRPr="00691818">
        <w:rPr>
          <w:rFonts w:ascii="Verdana" w:hAnsi="Verdana"/>
          <w:lang w:val="en-US"/>
        </w:rPr>
        <w:t>Mathers</w:t>
      </w:r>
      <w:proofErr w:type="spellEnd"/>
      <w:r w:rsidRPr="00691818">
        <w:rPr>
          <w:rFonts w:ascii="Verdana" w:hAnsi="Verdana"/>
          <w:lang w:val="en-US"/>
        </w:rPr>
        <w:t xml:space="preserve">, A. (2013): “Membership, influence and voice: a discussion of trade union renewal in the French context”. </w:t>
      </w:r>
      <w:r w:rsidRPr="00691818">
        <w:rPr>
          <w:rFonts w:ascii="Verdana" w:hAnsi="Verdana"/>
        </w:rPr>
        <w:t xml:space="preserve">En </w:t>
      </w:r>
      <w:r w:rsidRPr="00691818">
        <w:rPr>
          <w:rFonts w:ascii="Verdana" w:hAnsi="Verdana"/>
          <w:i/>
        </w:rPr>
        <w:t xml:space="preserve">Industrial </w:t>
      </w:r>
      <w:proofErr w:type="spellStart"/>
      <w:r w:rsidRPr="00691818">
        <w:rPr>
          <w:rFonts w:ascii="Verdana" w:hAnsi="Verdana"/>
          <w:i/>
        </w:rPr>
        <w:t>Relations</w:t>
      </w:r>
      <w:proofErr w:type="spellEnd"/>
      <w:r w:rsidRPr="00691818">
        <w:rPr>
          <w:rFonts w:ascii="Verdana" w:hAnsi="Verdana"/>
          <w:i/>
        </w:rPr>
        <w:t xml:space="preserve"> </w:t>
      </w:r>
      <w:proofErr w:type="spellStart"/>
      <w:r w:rsidRPr="00691818">
        <w:rPr>
          <w:rFonts w:ascii="Verdana" w:hAnsi="Verdana"/>
          <w:i/>
        </w:rPr>
        <w:t>Journal</w:t>
      </w:r>
      <w:proofErr w:type="spellEnd"/>
      <w:r w:rsidRPr="00691818">
        <w:rPr>
          <w:rFonts w:ascii="Verdana" w:hAnsi="Verdana"/>
        </w:rPr>
        <w:t>, vol. 44, núm. 2, pp. 122-138.</w:t>
      </w:r>
    </w:p>
    <w:p w:rsidR="00691818" w:rsidRPr="00691818" w:rsidRDefault="00691818" w:rsidP="00691818">
      <w:pPr>
        <w:spacing w:line="23" w:lineRule="atLeast"/>
        <w:jc w:val="both"/>
        <w:rPr>
          <w:rFonts w:ascii="Verdana" w:hAnsi="Verdana" w:cstheme="minorHAnsi"/>
          <w:lang w:val="en-US"/>
        </w:rPr>
      </w:pPr>
      <w:proofErr w:type="spellStart"/>
      <w:r w:rsidRPr="00691818">
        <w:rPr>
          <w:rFonts w:ascii="Verdana" w:hAnsi="Verdana" w:cstheme="minorHAnsi"/>
        </w:rPr>
        <w:t>Olson</w:t>
      </w:r>
      <w:proofErr w:type="spellEnd"/>
      <w:r w:rsidRPr="00691818">
        <w:rPr>
          <w:rFonts w:ascii="Verdana" w:hAnsi="Verdana" w:cstheme="minorHAnsi"/>
        </w:rPr>
        <w:t xml:space="preserve">, M. (1992): </w:t>
      </w:r>
      <w:r w:rsidRPr="00691818">
        <w:rPr>
          <w:rFonts w:ascii="Verdana" w:hAnsi="Verdana" w:cstheme="minorHAnsi"/>
          <w:i/>
        </w:rPr>
        <w:t>La lógica de la acción colectiva</w:t>
      </w:r>
      <w:r w:rsidRPr="00691818">
        <w:rPr>
          <w:rFonts w:ascii="Verdana" w:hAnsi="Verdana" w:cstheme="minorHAnsi"/>
        </w:rPr>
        <w:t xml:space="preserve">. </w:t>
      </w:r>
      <w:r w:rsidRPr="00691818">
        <w:rPr>
          <w:rFonts w:ascii="Verdana" w:hAnsi="Verdana" w:cstheme="minorHAnsi"/>
          <w:lang w:val="en-US"/>
        </w:rPr>
        <w:t xml:space="preserve">México: </w:t>
      </w:r>
      <w:proofErr w:type="spellStart"/>
      <w:r w:rsidRPr="00691818">
        <w:rPr>
          <w:rFonts w:ascii="Verdana" w:hAnsi="Verdana" w:cstheme="minorHAnsi"/>
          <w:lang w:val="en-US"/>
        </w:rPr>
        <w:t>Limusa</w:t>
      </w:r>
      <w:proofErr w:type="spellEnd"/>
      <w:r w:rsidRPr="00691818">
        <w:rPr>
          <w:rFonts w:ascii="Verdana" w:hAnsi="Verdana" w:cstheme="minorHAnsi"/>
          <w:lang w:val="en-US"/>
        </w:rPr>
        <w:t>.</w:t>
      </w:r>
    </w:p>
    <w:p w:rsidR="00691818" w:rsidRPr="00691818" w:rsidRDefault="00691818" w:rsidP="00691818">
      <w:pPr>
        <w:spacing w:line="23" w:lineRule="atLeast"/>
        <w:jc w:val="both"/>
        <w:rPr>
          <w:rFonts w:ascii="Verdana" w:hAnsi="Verdana" w:cstheme="minorHAnsi"/>
          <w:lang w:val="en-US"/>
        </w:rPr>
      </w:pPr>
      <w:proofErr w:type="spellStart"/>
      <w:r w:rsidRPr="00691818">
        <w:rPr>
          <w:rFonts w:ascii="Verdana" w:hAnsi="Verdana" w:cstheme="minorHAnsi"/>
          <w:lang w:val="en-US"/>
        </w:rPr>
        <w:t>Peetz</w:t>
      </w:r>
      <w:proofErr w:type="spellEnd"/>
      <w:r w:rsidRPr="00691818">
        <w:rPr>
          <w:rFonts w:ascii="Verdana" w:hAnsi="Verdana" w:cstheme="minorHAnsi"/>
          <w:lang w:val="en-US"/>
        </w:rPr>
        <w:t xml:space="preserve">, D.; </w:t>
      </w:r>
      <w:proofErr w:type="spellStart"/>
      <w:r w:rsidRPr="00691818">
        <w:rPr>
          <w:rFonts w:ascii="Verdana" w:hAnsi="Verdana" w:cstheme="minorHAnsi"/>
          <w:lang w:val="en-US"/>
        </w:rPr>
        <w:t>Pocock</w:t>
      </w:r>
      <w:proofErr w:type="spellEnd"/>
      <w:r w:rsidRPr="00691818">
        <w:rPr>
          <w:rFonts w:ascii="Verdana" w:hAnsi="Verdana" w:cstheme="minorHAnsi"/>
          <w:lang w:val="en-US"/>
        </w:rPr>
        <w:t xml:space="preserve">, B. (2009): “An Analysis of Workplace Representatives, Union Power and Democracy in Australia”. </w:t>
      </w:r>
      <w:proofErr w:type="spellStart"/>
      <w:r w:rsidRPr="00691818">
        <w:rPr>
          <w:rFonts w:ascii="Verdana" w:hAnsi="Verdana" w:cstheme="minorHAnsi"/>
          <w:lang w:val="en-US"/>
        </w:rPr>
        <w:t>En</w:t>
      </w:r>
      <w:proofErr w:type="spellEnd"/>
      <w:r w:rsidRPr="00691818">
        <w:rPr>
          <w:rFonts w:ascii="Verdana" w:hAnsi="Verdana" w:cstheme="minorHAnsi"/>
          <w:lang w:val="en-US"/>
        </w:rPr>
        <w:t xml:space="preserve"> </w:t>
      </w:r>
      <w:r w:rsidRPr="00691818">
        <w:rPr>
          <w:rFonts w:ascii="Verdana" w:hAnsi="Verdana" w:cstheme="minorHAnsi"/>
          <w:i/>
          <w:lang w:val="en-US"/>
        </w:rPr>
        <w:t>British Journal of Industrial Relations</w:t>
      </w:r>
      <w:r w:rsidRPr="00691818">
        <w:rPr>
          <w:rFonts w:ascii="Verdana" w:hAnsi="Verdana" w:cstheme="minorHAnsi"/>
          <w:lang w:val="en-US"/>
        </w:rPr>
        <w:t xml:space="preserve">, vol. 47, </w:t>
      </w:r>
      <w:proofErr w:type="spellStart"/>
      <w:r w:rsidRPr="00691818">
        <w:rPr>
          <w:rFonts w:ascii="Verdana" w:hAnsi="Verdana" w:cstheme="minorHAnsi"/>
          <w:lang w:val="en-US"/>
        </w:rPr>
        <w:t>núm</w:t>
      </w:r>
      <w:proofErr w:type="spellEnd"/>
      <w:r w:rsidRPr="00691818">
        <w:rPr>
          <w:rFonts w:ascii="Verdana" w:hAnsi="Verdana" w:cstheme="minorHAnsi"/>
          <w:lang w:val="en-US"/>
        </w:rPr>
        <w:t>. 4, pp. 623–652.</w:t>
      </w:r>
    </w:p>
    <w:p w:rsidR="00691818" w:rsidRPr="00691818" w:rsidRDefault="00691818" w:rsidP="00691818">
      <w:pPr>
        <w:autoSpaceDE w:val="0"/>
        <w:autoSpaceDN w:val="0"/>
        <w:adjustRightInd w:val="0"/>
        <w:spacing w:line="23" w:lineRule="atLeast"/>
        <w:jc w:val="both"/>
        <w:rPr>
          <w:rFonts w:ascii="Verdana" w:hAnsi="Verdana" w:cstheme="minorHAnsi"/>
          <w:lang w:val="en-US"/>
        </w:rPr>
      </w:pPr>
      <w:proofErr w:type="spellStart"/>
      <w:r w:rsidRPr="00691818">
        <w:rPr>
          <w:rFonts w:ascii="Verdana" w:hAnsi="Verdana" w:cstheme="minorHAnsi"/>
          <w:lang w:val="en-US"/>
        </w:rPr>
        <w:t>Pyman</w:t>
      </w:r>
      <w:proofErr w:type="spellEnd"/>
      <w:r w:rsidRPr="00691818">
        <w:rPr>
          <w:rFonts w:ascii="Verdana" w:hAnsi="Verdana" w:cstheme="minorHAnsi"/>
          <w:lang w:val="en-US"/>
        </w:rPr>
        <w:t xml:space="preserve">, A.; Cooper, B.; </w:t>
      </w:r>
      <w:proofErr w:type="spellStart"/>
      <w:r w:rsidRPr="00691818">
        <w:rPr>
          <w:rFonts w:ascii="Verdana" w:hAnsi="Verdana" w:cstheme="minorHAnsi"/>
          <w:lang w:val="en-US"/>
        </w:rPr>
        <w:t>Teicher</w:t>
      </w:r>
      <w:proofErr w:type="spellEnd"/>
      <w:r w:rsidRPr="00691818">
        <w:rPr>
          <w:rFonts w:ascii="Verdana" w:hAnsi="Verdana" w:cstheme="minorHAnsi"/>
          <w:lang w:val="en-US"/>
        </w:rPr>
        <w:t>, J.; Holland, P.</w:t>
      </w:r>
      <w:r w:rsidRPr="00691818">
        <w:rPr>
          <w:rFonts w:ascii="Verdana" w:hAnsi="Verdana" w:cstheme="minorHAnsi"/>
          <w:bCs/>
          <w:lang w:val="en-US"/>
        </w:rPr>
        <w:t xml:space="preserve"> (2006): “A comparison of the effectiveness of employee voice arrangements in Australia”. </w:t>
      </w:r>
      <w:proofErr w:type="spellStart"/>
      <w:r w:rsidRPr="00691818">
        <w:rPr>
          <w:rFonts w:ascii="Verdana" w:hAnsi="Verdana" w:cstheme="minorHAnsi"/>
          <w:bCs/>
          <w:lang w:val="en-US"/>
        </w:rPr>
        <w:t>En</w:t>
      </w:r>
      <w:proofErr w:type="spellEnd"/>
      <w:r w:rsidRPr="00691818">
        <w:rPr>
          <w:rFonts w:ascii="Verdana" w:hAnsi="Verdana" w:cstheme="minorHAnsi"/>
          <w:bCs/>
          <w:lang w:val="en-US"/>
        </w:rPr>
        <w:t xml:space="preserve"> </w:t>
      </w:r>
      <w:r w:rsidRPr="00691818">
        <w:rPr>
          <w:rFonts w:ascii="Verdana" w:hAnsi="Verdana" w:cstheme="minorHAnsi"/>
          <w:i/>
          <w:iCs/>
          <w:lang w:val="en-US"/>
        </w:rPr>
        <w:t>Industrial Relations Journal</w:t>
      </w:r>
      <w:r w:rsidRPr="00691818">
        <w:rPr>
          <w:rFonts w:ascii="Verdana" w:hAnsi="Verdana" w:cstheme="minorHAnsi"/>
          <w:iCs/>
          <w:lang w:val="en-US"/>
        </w:rPr>
        <w:t xml:space="preserve">, vol. </w:t>
      </w:r>
      <w:r w:rsidRPr="00691818">
        <w:rPr>
          <w:rFonts w:ascii="Verdana" w:hAnsi="Verdana" w:cstheme="minorHAnsi"/>
          <w:lang w:val="en-US"/>
        </w:rPr>
        <w:t xml:space="preserve">37, </w:t>
      </w:r>
      <w:proofErr w:type="spellStart"/>
      <w:r w:rsidRPr="00691818">
        <w:rPr>
          <w:rFonts w:ascii="Verdana" w:hAnsi="Verdana" w:cstheme="minorHAnsi"/>
          <w:lang w:val="en-US"/>
        </w:rPr>
        <w:t>núm</w:t>
      </w:r>
      <w:proofErr w:type="spellEnd"/>
      <w:r w:rsidRPr="00691818">
        <w:rPr>
          <w:rFonts w:ascii="Verdana" w:hAnsi="Verdana" w:cstheme="minorHAnsi"/>
          <w:lang w:val="en-US"/>
        </w:rPr>
        <w:t>. 5, pp. 543–559.</w:t>
      </w:r>
    </w:p>
    <w:p w:rsidR="00691818" w:rsidRPr="00691818" w:rsidRDefault="00691818" w:rsidP="00691818">
      <w:pPr>
        <w:autoSpaceDE w:val="0"/>
        <w:autoSpaceDN w:val="0"/>
        <w:adjustRightInd w:val="0"/>
        <w:spacing w:line="23" w:lineRule="atLeast"/>
        <w:jc w:val="both"/>
        <w:rPr>
          <w:rFonts w:ascii="Verdana" w:hAnsi="Verdana" w:cstheme="minorHAnsi"/>
          <w:lang w:val="en-US"/>
        </w:rPr>
      </w:pPr>
      <w:r w:rsidRPr="00691818">
        <w:rPr>
          <w:rFonts w:ascii="Verdana" w:hAnsi="Verdana" w:cstheme="minorHAnsi"/>
          <w:lang w:val="en-US"/>
        </w:rPr>
        <w:t xml:space="preserve">Regalia, I. (ed., 2006): </w:t>
      </w:r>
      <w:r w:rsidRPr="00691818">
        <w:rPr>
          <w:rFonts w:ascii="Verdana" w:hAnsi="Verdana" w:cstheme="minorHAnsi"/>
          <w:i/>
          <w:lang w:val="en-US"/>
        </w:rPr>
        <w:t xml:space="preserve">Regulating New Forms of Employment. </w:t>
      </w:r>
      <w:proofErr w:type="gramStart"/>
      <w:r w:rsidRPr="00691818">
        <w:rPr>
          <w:rFonts w:ascii="Verdana" w:hAnsi="Verdana" w:cstheme="minorHAnsi"/>
          <w:i/>
          <w:lang w:val="en-US"/>
        </w:rPr>
        <w:t>Local Experiments and Social Innovation in Europe</w:t>
      </w:r>
      <w:r w:rsidRPr="00691818">
        <w:rPr>
          <w:rFonts w:ascii="Verdana" w:hAnsi="Verdana" w:cstheme="minorHAnsi"/>
          <w:lang w:val="en-US"/>
        </w:rPr>
        <w:t>.</w:t>
      </w:r>
      <w:proofErr w:type="gramEnd"/>
      <w:r w:rsidRPr="00691818">
        <w:rPr>
          <w:rFonts w:ascii="Verdana" w:hAnsi="Verdana" w:cstheme="minorHAnsi"/>
          <w:lang w:val="en-US"/>
        </w:rPr>
        <w:t xml:space="preserve"> New York: Routledge.</w:t>
      </w:r>
    </w:p>
    <w:p w:rsidR="00691818" w:rsidRPr="00691818" w:rsidRDefault="00691818" w:rsidP="00691818">
      <w:pPr>
        <w:spacing w:line="23" w:lineRule="atLeast"/>
        <w:jc w:val="both"/>
        <w:rPr>
          <w:rFonts w:ascii="Verdana" w:hAnsi="Verdana" w:cstheme="minorHAnsi"/>
          <w:lang w:val="en-GB"/>
        </w:rPr>
      </w:pPr>
      <w:r w:rsidRPr="00691818">
        <w:rPr>
          <w:rFonts w:ascii="Verdana" w:hAnsi="Verdana" w:cstheme="minorHAnsi"/>
          <w:lang w:val="en-GB"/>
        </w:rPr>
        <w:lastRenderedPageBreak/>
        <w:t xml:space="preserve">Rigby, M.; </w:t>
      </w:r>
      <w:proofErr w:type="spellStart"/>
      <w:r w:rsidRPr="00691818">
        <w:rPr>
          <w:rFonts w:ascii="Verdana" w:hAnsi="Verdana" w:cstheme="minorHAnsi"/>
          <w:lang w:val="en-GB"/>
        </w:rPr>
        <w:t>Contrepois</w:t>
      </w:r>
      <w:proofErr w:type="spellEnd"/>
      <w:r w:rsidRPr="00691818">
        <w:rPr>
          <w:rFonts w:ascii="Verdana" w:hAnsi="Verdana" w:cstheme="minorHAnsi"/>
          <w:lang w:val="en-GB"/>
        </w:rPr>
        <w:t>, S.; O'Brien Smith, F. (2009): “</w:t>
      </w:r>
      <w:r w:rsidRPr="00691818">
        <w:rPr>
          <w:rFonts w:ascii="Verdana" w:hAnsi="Verdana" w:cstheme="minorHAnsi"/>
          <w:bCs/>
          <w:lang w:val="en-GB"/>
        </w:rPr>
        <w:t xml:space="preserve">The Establishment of Enterprise Works Councils: Process and Problems”. </w:t>
      </w:r>
      <w:proofErr w:type="spellStart"/>
      <w:r w:rsidRPr="00691818">
        <w:rPr>
          <w:rFonts w:ascii="Verdana" w:hAnsi="Verdana" w:cstheme="minorHAnsi"/>
          <w:bCs/>
          <w:lang w:val="en-GB"/>
        </w:rPr>
        <w:t>En</w:t>
      </w:r>
      <w:proofErr w:type="spellEnd"/>
      <w:r w:rsidRPr="00691818">
        <w:rPr>
          <w:rFonts w:ascii="Verdana" w:hAnsi="Verdana" w:cstheme="minorHAnsi"/>
          <w:bCs/>
          <w:lang w:val="en-GB"/>
        </w:rPr>
        <w:t xml:space="preserve"> </w:t>
      </w:r>
      <w:r w:rsidRPr="00691818">
        <w:rPr>
          <w:rFonts w:ascii="Verdana" w:hAnsi="Verdana" w:cstheme="minorHAnsi"/>
          <w:i/>
          <w:iCs/>
          <w:lang w:val="en-GB"/>
        </w:rPr>
        <w:t>European Journal of Industrial Relations,</w:t>
      </w:r>
      <w:r w:rsidRPr="00691818">
        <w:rPr>
          <w:rFonts w:ascii="Verdana" w:hAnsi="Verdana" w:cstheme="minorHAnsi"/>
          <w:iCs/>
          <w:lang w:val="en-GB"/>
        </w:rPr>
        <w:t xml:space="preserve"> vol.</w:t>
      </w:r>
      <w:r w:rsidRPr="00691818">
        <w:rPr>
          <w:rFonts w:ascii="Verdana" w:hAnsi="Verdana" w:cstheme="minorHAnsi"/>
          <w:lang w:val="en-GB"/>
        </w:rPr>
        <w:t xml:space="preserve"> 15, </w:t>
      </w:r>
      <w:proofErr w:type="spellStart"/>
      <w:r w:rsidRPr="00691818">
        <w:rPr>
          <w:rFonts w:ascii="Verdana" w:hAnsi="Verdana" w:cstheme="minorHAnsi"/>
          <w:lang w:val="en-GB"/>
        </w:rPr>
        <w:t>núm</w:t>
      </w:r>
      <w:proofErr w:type="spellEnd"/>
      <w:r w:rsidRPr="00691818">
        <w:rPr>
          <w:rFonts w:ascii="Verdana" w:hAnsi="Verdana" w:cstheme="minorHAnsi"/>
          <w:lang w:val="en-GB"/>
        </w:rPr>
        <w:t>. 1, 71-90.</w:t>
      </w:r>
    </w:p>
    <w:p w:rsidR="00691818" w:rsidRPr="00691818" w:rsidRDefault="00691818" w:rsidP="00691818">
      <w:pPr>
        <w:spacing w:line="23" w:lineRule="atLeast"/>
        <w:jc w:val="both"/>
        <w:rPr>
          <w:rFonts w:ascii="Verdana" w:hAnsi="Verdana" w:cstheme="minorHAnsi"/>
          <w:lang w:val="fr-FR"/>
        </w:rPr>
      </w:pPr>
      <w:proofErr w:type="spellStart"/>
      <w:r w:rsidRPr="00691818">
        <w:rPr>
          <w:rFonts w:ascii="Verdana" w:hAnsi="Verdana" w:cstheme="minorHAnsi"/>
          <w:lang w:val="en-US"/>
        </w:rPr>
        <w:t>Rittau</w:t>
      </w:r>
      <w:proofErr w:type="spellEnd"/>
      <w:r w:rsidRPr="00691818">
        <w:rPr>
          <w:rFonts w:ascii="Verdana" w:hAnsi="Verdana" w:cstheme="minorHAnsi"/>
          <w:lang w:val="en-US"/>
        </w:rPr>
        <w:t xml:space="preserve"> Y.; </w:t>
      </w:r>
      <w:proofErr w:type="spellStart"/>
      <w:r w:rsidRPr="00691818">
        <w:rPr>
          <w:rFonts w:ascii="Verdana" w:hAnsi="Verdana" w:cstheme="minorHAnsi"/>
          <w:lang w:val="en-US"/>
        </w:rPr>
        <w:t>Dundon</w:t>
      </w:r>
      <w:proofErr w:type="spellEnd"/>
      <w:r w:rsidRPr="00691818">
        <w:rPr>
          <w:rFonts w:ascii="Verdana" w:hAnsi="Verdana" w:cstheme="minorHAnsi"/>
          <w:lang w:val="en-US"/>
        </w:rPr>
        <w:t xml:space="preserve">, T. (2010): “The roles and functions of shop stewards in workplace partnership: evidence from the Republic of Ireland“. </w:t>
      </w:r>
      <w:r w:rsidRPr="00691818">
        <w:rPr>
          <w:rFonts w:ascii="Verdana" w:hAnsi="Verdana" w:cstheme="minorHAnsi"/>
          <w:lang w:val="fr-FR"/>
        </w:rPr>
        <w:t xml:space="preserve">En </w:t>
      </w:r>
      <w:proofErr w:type="spellStart"/>
      <w:r w:rsidRPr="00691818">
        <w:rPr>
          <w:rFonts w:ascii="Verdana" w:hAnsi="Verdana" w:cstheme="minorHAnsi"/>
          <w:i/>
          <w:lang w:val="fr-FR"/>
        </w:rPr>
        <w:t>Employee</w:t>
      </w:r>
      <w:proofErr w:type="spellEnd"/>
      <w:r w:rsidRPr="00691818">
        <w:rPr>
          <w:rFonts w:ascii="Verdana" w:hAnsi="Verdana" w:cstheme="minorHAnsi"/>
          <w:i/>
          <w:lang w:val="fr-FR"/>
        </w:rPr>
        <w:t xml:space="preserve"> Relations</w:t>
      </w:r>
      <w:r w:rsidRPr="00691818">
        <w:rPr>
          <w:rFonts w:ascii="Verdana" w:hAnsi="Verdana" w:cstheme="minorHAnsi"/>
          <w:lang w:val="fr-FR"/>
        </w:rPr>
        <w:t xml:space="preserve">, vol. 32, </w:t>
      </w:r>
      <w:proofErr w:type="spellStart"/>
      <w:r w:rsidRPr="00691818">
        <w:rPr>
          <w:rFonts w:ascii="Verdana" w:hAnsi="Verdana" w:cstheme="minorHAnsi"/>
          <w:lang w:val="fr-FR"/>
        </w:rPr>
        <w:t>núm</w:t>
      </w:r>
      <w:proofErr w:type="spellEnd"/>
      <w:r w:rsidRPr="00691818">
        <w:rPr>
          <w:rFonts w:ascii="Verdana" w:hAnsi="Verdana" w:cstheme="minorHAnsi"/>
          <w:lang w:val="fr-FR"/>
        </w:rPr>
        <w:t>. 1, pp. 10-27.</w:t>
      </w:r>
    </w:p>
    <w:p w:rsidR="00691818" w:rsidRPr="00691818" w:rsidRDefault="00691818" w:rsidP="00691818">
      <w:pPr>
        <w:autoSpaceDE w:val="0"/>
        <w:autoSpaceDN w:val="0"/>
        <w:adjustRightInd w:val="0"/>
        <w:spacing w:line="23" w:lineRule="atLeast"/>
        <w:jc w:val="both"/>
        <w:rPr>
          <w:rFonts w:ascii="Verdana" w:hAnsi="Verdana" w:cstheme="minorHAnsi"/>
          <w:lang w:val="en-US"/>
        </w:rPr>
      </w:pPr>
      <w:proofErr w:type="spellStart"/>
      <w:r w:rsidRPr="00691818">
        <w:rPr>
          <w:rFonts w:ascii="Verdana" w:hAnsi="Verdana" w:cstheme="minorHAnsi"/>
          <w:lang w:val="fr-FR"/>
        </w:rPr>
        <w:t>Simms</w:t>
      </w:r>
      <w:proofErr w:type="spellEnd"/>
      <w:r w:rsidRPr="00691818">
        <w:rPr>
          <w:rFonts w:ascii="Verdana" w:hAnsi="Verdana" w:cstheme="minorHAnsi"/>
          <w:lang w:val="fr-FR"/>
        </w:rPr>
        <w:t>, M. (2011): “</w:t>
      </w:r>
      <w:r w:rsidRPr="00691818">
        <w:rPr>
          <w:rFonts w:ascii="Verdana" w:hAnsi="Verdana" w:cs="Arial"/>
          <w:bCs/>
          <w:lang w:val="fr-FR"/>
        </w:rPr>
        <w:t>Les militants de terrain dans les campagnes d’implantation syndicale dans le secteur des services en Grande-Bretagne</w:t>
      </w:r>
      <w:r w:rsidRPr="00691818">
        <w:rPr>
          <w:rFonts w:ascii="Verdana" w:hAnsi="Verdana" w:cstheme="minorHAnsi"/>
          <w:lang w:val="fr-FR"/>
        </w:rPr>
        <w:t xml:space="preserve">". </w:t>
      </w:r>
      <w:r w:rsidRPr="00691818">
        <w:rPr>
          <w:rFonts w:ascii="Verdana" w:hAnsi="Verdana" w:cstheme="minorHAnsi"/>
          <w:bCs/>
          <w:lang w:val="ca-ES"/>
        </w:rPr>
        <w:t xml:space="preserve">En </w:t>
      </w:r>
      <w:r w:rsidRPr="00691818">
        <w:rPr>
          <w:rFonts w:ascii="Verdana" w:hAnsi="Verdana" w:cstheme="minorHAnsi"/>
          <w:i/>
          <w:color w:val="333333"/>
          <w:lang w:val="en-US"/>
        </w:rPr>
        <w:t xml:space="preserve">Revue de </w:t>
      </w:r>
      <w:proofErr w:type="spellStart"/>
      <w:r w:rsidRPr="00691818">
        <w:rPr>
          <w:rFonts w:ascii="Verdana" w:hAnsi="Verdana" w:cstheme="minorHAnsi"/>
          <w:i/>
          <w:color w:val="333333"/>
          <w:lang w:val="en-US"/>
        </w:rPr>
        <w:t>l’IRES</w:t>
      </w:r>
      <w:proofErr w:type="spellEnd"/>
      <w:r w:rsidRPr="00691818">
        <w:rPr>
          <w:rFonts w:ascii="Verdana" w:hAnsi="Verdana" w:cstheme="minorHAnsi"/>
          <w:lang w:val="en-US"/>
        </w:rPr>
        <w:t xml:space="preserve">, vol. </w:t>
      </w:r>
      <w:proofErr w:type="gramStart"/>
      <w:r w:rsidRPr="00691818">
        <w:rPr>
          <w:rFonts w:ascii="Verdana" w:hAnsi="Verdana" w:cstheme="minorHAnsi"/>
          <w:iCs/>
          <w:lang w:val="en-US"/>
        </w:rPr>
        <w:t xml:space="preserve">68, </w:t>
      </w:r>
      <w:proofErr w:type="spellStart"/>
      <w:r w:rsidRPr="00691818">
        <w:rPr>
          <w:rFonts w:ascii="Verdana" w:hAnsi="Verdana" w:cstheme="minorHAnsi"/>
          <w:iCs/>
          <w:lang w:val="en-US"/>
        </w:rPr>
        <w:t>núm</w:t>
      </w:r>
      <w:proofErr w:type="spellEnd"/>
      <w:r w:rsidRPr="00691818">
        <w:rPr>
          <w:rFonts w:ascii="Verdana" w:hAnsi="Verdana" w:cstheme="minorHAnsi"/>
          <w:iCs/>
          <w:lang w:val="en-US"/>
        </w:rPr>
        <w:t>.</w:t>
      </w:r>
      <w:proofErr w:type="gramEnd"/>
      <w:r w:rsidRPr="00691818">
        <w:rPr>
          <w:rFonts w:ascii="Verdana" w:hAnsi="Verdana" w:cstheme="minorHAnsi"/>
          <w:iCs/>
          <w:lang w:val="en-US"/>
        </w:rPr>
        <w:t xml:space="preserve"> 1, pp. 75-108.</w:t>
      </w:r>
    </w:p>
    <w:p w:rsidR="00691818" w:rsidRPr="00691818" w:rsidRDefault="00691818" w:rsidP="00691818">
      <w:pPr>
        <w:autoSpaceDE w:val="0"/>
        <w:autoSpaceDN w:val="0"/>
        <w:adjustRightInd w:val="0"/>
        <w:spacing w:line="23" w:lineRule="atLeast"/>
        <w:jc w:val="both"/>
        <w:rPr>
          <w:rFonts w:ascii="Verdana" w:hAnsi="Verdana" w:cstheme="minorHAnsi"/>
          <w:lang w:val="en-US"/>
        </w:rPr>
      </w:pPr>
      <w:proofErr w:type="spellStart"/>
      <w:r w:rsidRPr="00691818">
        <w:rPr>
          <w:rFonts w:ascii="Verdana" w:hAnsi="Verdana" w:cstheme="minorHAnsi"/>
          <w:lang w:val="en-US"/>
        </w:rPr>
        <w:t>Taras</w:t>
      </w:r>
      <w:proofErr w:type="spellEnd"/>
      <w:r w:rsidRPr="00691818">
        <w:rPr>
          <w:rFonts w:ascii="Verdana" w:hAnsi="Verdana" w:cstheme="minorHAnsi"/>
          <w:lang w:val="en-US"/>
        </w:rPr>
        <w:t>, D.G.; Kaufman, B.E.</w:t>
      </w:r>
      <w:r w:rsidRPr="00691818">
        <w:rPr>
          <w:rFonts w:ascii="Verdana" w:hAnsi="Verdana" w:cstheme="minorHAnsi"/>
          <w:bCs/>
          <w:lang w:val="en-US"/>
        </w:rPr>
        <w:t xml:space="preserve"> (2006): “Non-union employee representation in North America: diversity, controversy and uncertain future”. </w:t>
      </w:r>
      <w:proofErr w:type="spellStart"/>
      <w:r w:rsidRPr="00691818">
        <w:rPr>
          <w:rFonts w:ascii="Verdana" w:hAnsi="Verdana" w:cstheme="minorHAnsi"/>
          <w:bCs/>
          <w:lang w:val="en-US"/>
        </w:rPr>
        <w:t>En</w:t>
      </w:r>
      <w:proofErr w:type="spellEnd"/>
      <w:r w:rsidRPr="00691818">
        <w:rPr>
          <w:rFonts w:ascii="Verdana" w:hAnsi="Verdana" w:cstheme="minorHAnsi"/>
          <w:bCs/>
          <w:lang w:val="en-US"/>
        </w:rPr>
        <w:t xml:space="preserve"> </w:t>
      </w:r>
      <w:r w:rsidRPr="00691818">
        <w:rPr>
          <w:rFonts w:ascii="Verdana" w:hAnsi="Verdana" w:cstheme="minorHAnsi"/>
          <w:i/>
          <w:iCs/>
          <w:lang w:val="en-US"/>
        </w:rPr>
        <w:t>Industrial Relations Journal</w:t>
      </w:r>
      <w:r w:rsidRPr="00691818">
        <w:rPr>
          <w:rFonts w:ascii="Verdana" w:hAnsi="Verdana" w:cstheme="minorHAnsi"/>
          <w:iCs/>
          <w:lang w:val="en-US"/>
        </w:rPr>
        <w:t xml:space="preserve">, vol. </w:t>
      </w:r>
      <w:r w:rsidRPr="00691818">
        <w:rPr>
          <w:rFonts w:ascii="Verdana" w:hAnsi="Verdana" w:cstheme="minorHAnsi"/>
          <w:lang w:val="en-US"/>
        </w:rPr>
        <w:t xml:space="preserve">37, </w:t>
      </w:r>
      <w:proofErr w:type="spellStart"/>
      <w:r w:rsidRPr="00691818">
        <w:rPr>
          <w:rFonts w:ascii="Verdana" w:hAnsi="Verdana" w:cstheme="minorHAnsi"/>
          <w:lang w:val="en-US"/>
        </w:rPr>
        <w:t>núm</w:t>
      </w:r>
      <w:proofErr w:type="spellEnd"/>
      <w:r w:rsidRPr="00691818">
        <w:rPr>
          <w:rFonts w:ascii="Verdana" w:hAnsi="Verdana" w:cstheme="minorHAnsi"/>
          <w:lang w:val="en-US"/>
        </w:rPr>
        <w:t>. 5, pp. 513–542.</w:t>
      </w:r>
    </w:p>
    <w:p w:rsidR="00691818" w:rsidRPr="00691818" w:rsidRDefault="00691818" w:rsidP="00691818">
      <w:pPr>
        <w:spacing w:line="23" w:lineRule="atLeast"/>
        <w:jc w:val="both"/>
        <w:rPr>
          <w:rFonts w:ascii="Verdana" w:hAnsi="Verdana" w:cstheme="minorHAnsi"/>
          <w:lang w:val="en-US"/>
        </w:rPr>
      </w:pPr>
      <w:proofErr w:type="spellStart"/>
      <w:r w:rsidRPr="00691818">
        <w:rPr>
          <w:rFonts w:ascii="Verdana" w:hAnsi="Verdana" w:cstheme="minorHAnsi"/>
          <w:lang w:val="en-US"/>
        </w:rPr>
        <w:t>Tetrick</w:t>
      </w:r>
      <w:proofErr w:type="spellEnd"/>
      <w:r w:rsidRPr="00691818">
        <w:rPr>
          <w:rFonts w:ascii="Verdana" w:hAnsi="Verdana" w:cstheme="minorHAnsi"/>
          <w:lang w:val="en-US"/>
        </w:rPr>
        <w:t xml:space="preserve">, L.E.; Shore, L.M.; </w:t>
      </w:r>
      <w:proofErr w:type="spellStart"/>
      <w:r w:rsidRPr="00691818">
        <w:rPr>
          <w:rFonts w:ascii="Verdana" w:hAnsi="Verdana" w:cstheme="minorHAnsi"/>
          <w:lang w:val="en-US"/>
        </w:rPr>
        <w:t>McClurg</w:t>
      </w:r>
      <w:proofErr w:type="spellEnd"/>
      <w:r w:rsidRPr="00691818">
        <w:rPr>
          <w:rFonts w:ascii="Verdana" w:hAnsi="Verdana" w:cstheme="minorHAnsi"/>
          <w:lang w:val="en-US"/>
        </w:rPr>
        <w:t xml:space="preserve">, L.N.; Vandenberg, R.J. (2007): “A model of union participation: The impact of perceived union support, union instrumentality, and union loyalty”. </w:t>
      </w:r>
      <w:proofErr w:type="spellStart"/>
      <w:r w:rsidRPr="00691818">
        <w:rPr>
          <w:rFonts w:ascii="Verdana" w:hAnsi="Verdana" w:cstheme="minorHAnsi"/>
          <w:lang w:val="en-US"/>
        </w:rPr>
        <w:t>En</w:t>
      </w:r>
      <w:proofErr w:type="spellEnd"/>
      <w:r w:rsidRPr="00691818">
        <w:rPr>
          <w:rFonts w:ascii="Verdana" w:hAnsi="Verdana" w:cstheme="minorHAnsi"/>
          <w:lang w:val="en-US"/>
        </w:rPr>
        <w:t xml:space="preserve"> </w:t>
      </w:r>
      <w:r w:rsidRPr="00691818">
        <w:rPr>
          <w:rFonts w:ascii="Verdana" w:hAnsi="Verdana" w:cstheme="minorHAnsi"/>
          <w:bCs/>
          <w:i/>
          <w:lang w:val="en-US"/>
        </w:rPr>
        <w:t>Journal of Applied Psychology,</w:t>
      </w:r>
      <w:r w:rsidRPr="00691818">
        <w:rPr>
          <w:rFonts w:ascii="Verdana" w:hAnsi="Verdana" w:cstheme="minorHAnsi"/>
          <w:bCs/>
          <w:lang w:val="en-US"/>
        </w:rPr>
        <w:t xml:space="preserve"> </w:t>
      </w:r>
      <w:r w:rsidRPr="00691818">
        <w:rPr>
          <w:rFonts w:ascii="Verdana" w:hAnsi="Verdana" w:cstheme="minorHAnsi"/>
          <w:lang w:val="en-US"/>
        </w:rPr>
        <w:t xml:space="preserve">vol. 92, </w:t>
      </w:r>
      <w:proofErr w:type="spellStart"/>
      <w:r w:rsidRPr="00691818">
        <w:rPr>
          <w:rFonts w:ascii="Verdana" w:hAnsi="Verdana" w:cstheme="minorHAnsi"/>
          <w:lang w:val="en-US"/>
        </w:rPr>
        <w:t>núm</w:t>
      </w:r>
      <w:proofErr w:type="spellEnd"/>
      <w:r w:rsidRPr="00691818">
        <w:rPr>
          <w:rFonts w:ascii="Verdana" w:hAnsi="Verdana" w:cstheme="minorHAnsi"/>
          <w:lang w:val="en-US"/>
        </w:rPr>
        <w:t>. 3, pp. 820-828.</w:t>
      </w:r>
    </w:p>
    <w:p w:rsidR="00691818" w:rsidRPr="00691818" w:rsidRDefault="00691818" w:rsidP="00691818">
      <w:pPr>
        <w:jc w:val="both"/>
        <w:rPr>
          <w:rFonts w:ascii="Verdana" w:hAnsi="Verdana"/>
        </w:rPr>
      </w:pPr>
      <w:proofErr w:type="spellStart"/>
      <w:r w:rsidRPr="00691818">
        <w:rPr>
          <w:rFonts w:ascii="Verdana" w:hAnsi="Verdana"/>
          <w:lang w:val="en-US"/>
        </w:rPr>
        <w:t>Toharia</w:t>
      </w:r>
      <w:proofErr w:type="spellEnd"/>
      <w:r w:rsidRPr="00691818">
        <w:rPr>
          <w:rFonts w:ascii="Verdana" w:hAnsi="Verdana"/>
          <w:lang w:val="en-US"/>
        </w:rPr>
        <w:t xml:space="preserve">, J.L. (2011): </w:t>
      </w:r>
      <w:proofErr w:type="spellStart"/>
      <w:r w:rsidRPr="00691818">
        <w:rPr>
          <w:rFonts w:ascii="Verdana" w:hAnsi="Verdana"/>
          <w:i/>
          <w:lang w:val="en-US"/>
        </w:rPr>
        <w:t>Pulso</w:t>
      </w:r>
      <w:proofErr w:type="spellEnd"/>
      <w:r w:rsidRPr="00691818">
        <w:rPr>
          <w:rFonts w:ascii="Verdana" w:hAnsi="Verdana"/>
          <w:i/>
          <w:lang w:val="en-US"/>
        </w:rPr>
        <w:t xml:space="preserve"> de </w:t>
      </w:r>
      <w:proofErr w:type="spellStart"/>
      <w:r w:rsidRPr="00691818">
        <w:rPr>
          <w:rFonts w:ascii="Verdana" w:hAnsi="Verdana"/>
          <w:i/>
          <w:lang w:val="en-US"/>
        </w:rPr>
        <w:t>España</w:t>
      </w:r>
      <w:proofErr w:type="spellEnd"/>
      <w:r w:rsidRPr="00691818">
        <w:rPr>
          <w:rFonts w:ascii="Verdana" w:hAnsi="Verdana"/>
          <w:i/>
          <w:lang w:val="en-US"/>
        </w:rPr>
        <w:t xml:space="preserve"> 2010. </w:t>
      </w:r>
      <w:r w:rsidRPr="00691818">
        <w:rPr>
          <w:rFonts w:ascii="Verdana" w:hAnsi="Verdana"/>
          <w:i/>
        </w:rPr>
        <w:t>Un informe sociológico</w:t>
      </w:r>
      <w:r w:rsidRPr="00691818">
        <w:rPr>
          <w:rFonts w:ascii="Verdana" w:hAnsi="Verdana"/>
        </w:rPr>
        <w:t>. Madrid: Biblioteca Nueva.</w:t>
      </w:r>
    </w:p>
    <w:p w:rsidR="00691818" w:rsidRPr="00691818" w:rsidRDefault="00691818" w:rsidP="00691818">
      <w:pPr>
        <w:jc w:val="both"/>
        <w:rPr>
          <w:rFonts w:ascii="Verdana" w:hAnsi="Verdana"/>
          <w:lang w:val="en-US"/>
        </w:rPr>
      </w:pPr>
      <w:proofErr w:type="spellStart"/>
      <w:r w:rsidRPr="00691818">
        <w:rPr>
          <w:rFonts w:ascii="Verdana" w:hAnsi="Verdana"/>
          <w:lang w:val="en-US"/>
        </w:rPr>
        <w:t>Visser</w:t>
      </w:r>
      <w:proofErr w:type="spellEnd"/>
      <w:r w:rsidRPr="00691818">
        <w:rPr>
          <w:rFonts w:ascii="Verdana" w:hAnsi="Verdana"/>
          <w:lang w:val="en-US"/>
        </w:rPr>
        <w:t xml:space="preserve">, J. (2002): “Why Fewer Workers Join Unions in Europe: A Social Custom Explanation of Membership Trends”. </w:t>
      </w:r>
      <w:proofErr w:type="spellStart"/>
      <w:r w:rsidRPr="00691818">
        <w:rPr>
          <w:rFonts w:ascii="Verdana" w:hAnsi="Verdana"/>
          <w:lang w:val="en-US"/>
        </w:rPr>
        <w:t>En</w:t>
      </w:r>
      <w:proofErr w:type="spellEnd"/>
      <w:r w:rsidRPr="00691818">
        <w:rPr>
          <w:rFonts w:ascii="Verdana" w:hAnsi="Verdana"/>
          <w:lang w:val="en-US"/>
        </w:rPr>
        <w:t xml:space="preserve"> </w:t>
      </w:r>
      <w:r w:rsidRPr="00691818">
        <w:rPr>
          <w:rFonts w:ascii="Verdana" w:hAnsi="Verdana"/>
          <w:i/>
          <w:lang w:val="en-US"/>
        </w:rPr>
        <w:t>British Journal of Industrial Relations</w:t>
      </w:r>
      <w:r w:rsidRPr="00691818">
        <w:rPr>
          <w:rFonts w:ascii="Verdana" w:hAnsi="Verdana"/>
          <w:lang w:val="en-US"/>
        </w:rPr>
        <w:t xml:space="preserve">, vol. 40, </w:t>
      </w:r>
      <w:proofErr w:type="spellStart"/>
      <w:r w:rsidRPr="00691818">
        <w:rPr>
          <w:rFonts w:ascii="Verdana" w:hAnsi="Verdana"/>
          <w:lang w:val="en-US"/>
        </w:rPr>
        <w:t>núm</w:t>
      </w:r>
      <w:proofErr w:type="spellEnd"/>
      <w:r w:rsidRPr="00691818">
        <w:rPr>
          <w:rFonts w:ascii="Verdana" w:hAnsi="Verdana"/>
          <w:lang w:val="en-US"/>
        </w:rPr>
        <w:t>. 3, pp. 403-430.</w:t>
      </w:r>
    </w:p>
    <w:p w:rsidR="00691818" w:rsidRPr="00691818" w:rsidRDefault="00691818" w:rsidP="00691818">
      <w:pPr>
        <w:spacing w:line="23" w:lineRule="atLeast"/>
        <w:jc w:val="both"/>
        <w:rPr>
          <w:rFonts w:ascii="Verdana" w:hAnsi="Verdana"/>
          <w:lang w:val="en-GB"/>
        </w:rPr>
      </w:pPr>
      <w:r w:rsidRPr="00691818">
        <w:rPr>
          <w:rFonts w:ascii="Verdana" w:hAnsi="Verdana"/>
          <w:lang w:val="en-GB"/>
        </w:rPr>
        <w:t xml:space="preserve">Voss, K. (2010): “Democratic dilemmas: union democracy and union renewal”. </w:t>
      </w:r>
      <w:proofErr w:type="spellStart"/>
      <w:r w:rsidRPr="00691818">
        <w:rPr>
          <w:rFonts w:ascii="Verdana" w:hAnsi="Verdana"/>
          <w:lang w:val="en-GB"/>
        </w:rPr>
        <w:t>En</w:t>
      </w:r>
      <w:proofErr w:type="spellEnd"/>
      <w:r w:rsidRPr="00691818">
        <w:rPr>
          <w:rFonts w:ascii="Verdana" w:hAnsi="Verdana"/>
          <w:lang w:val="en-GB"/>
        </w:rPr>
        <w:t xml:space="preserve"> </w:t>
      </w:r>
      <w:r w:rsidRPr="00691818">
        <w:rPr>
          <w:rFonts w:ascii="Verdana" w:hAnsi="Verdana"/>
          <w:i/>
          <w:lang w:val="en-GB"/>
        </w:rPr>
        <w:t>Transfer: European Review of Labour and Research</w:t>
      </w:r>
      <w:r w:rsidRPr="00691818">
        <w:rPr>
          <w:rFonts w:ascii="Verdana" w:hAnsi="Verdana"/>
          <w:lang w:val="en-GB"/>
        </w:rPr>
        <w:t xml:space="preserve">, vol. 16, </w:t>
      </w:r>
      <w:proofErr w:type="spellStart"/>
      <w:r w:rsidRPr="00691818">
        <w:rPr>
          <w:rFonts w:ascii="Verdana" w:hAnsi="Verdana"/>
          <w:lang w:val="en-GB"/>
        </w:rPr>
        <w:t>núm</w:t>
      </w:r>
      <w:proofErr w:type="spellEnd"/>
      <w:r w:rsidRPr="00691818">
        <w:rPr>
          <w:rFonts w:ascii="Verdana" w:hAnsi="Verdana"/>
          <w:lang w:val="en-GB"/>
        </w:rPr>
        <w:t>. 3, pp. 369-382.</w:t>
      </w:r>
    </w:p>
    <w:p w:rsidR="00691818" w:rsidRPr="00691818" w:rsidRDefault="00691818" w:rsidP="00691818">
      <w:pPr>
        <w:jc w:val="both"/>
        <w:rPr>
          <w:rFonts w:ascii="Verdana" w:hAnsi="Verdana"/>
          <w:lang w:val="en-US"/>
        </w:rPr>
      </w:pPr>
      <w:r w:rsidRPr="00691818">
        <w:rPr>
          <w:rFonts w:ascii="Verdana" w:hAnsi="Verdana"/>
          <w:lang w:val="en-US"/>
        </w:rPr>
        <w:t xml:space="preserve">Waddington, J.; </w:t>
      </w:r>
      <w:proofErr w:type="spellStart"/>
      <w:r w:rsidRPr="00691818">
        <w:rPr>
          <w:rFonts w:ascii="Verdana" w:hAnsi="Verdana"/>
          <w:lang w:val="en-US"/>
        </w:rPr>
        <w:t>Whitston</w:t>
      </w:r>
      <w:proofErr w:type="spellEnd"/>
      <w:r w:rsidRPr="00691818">
        <w:rPr>
          <w:rFonts w:ascii="Verdana" w:hAnsi="Verdana"/>
          <w:lang w:val="en-US"/>
        </w:rPr>
        <w:t>, C. (1997): “Why Do People Join Unions in a Period of Membership Decline?</w:t>
      </w:r>
      <w:proofErr w:type="gramStart"/>
      <w:r w:rsidRPr="00691818">
        <w:rPr>
          <w:rFonts w:ascii="Verdana" w:hAnsi="Verdana"/>
          <w:lang w:val="en-US"/>
        </w:rPr>
        <w:t>”.</w:t>
      </w:r>
      <w:proofErr w:type="gramEnd"/>
      <w:r w:rsidRPr="00691818">
        <w:rPr>
          <w:rFonts w:ascii="Verdana" w:hAnsi="Verdana"/>
          <w:lang w:val="en-US"/>
        </w:rPr>
        <w:t xml:space="preserve"> </w:t>
      </w:r>
      <w:proofErr w:type="spellStart"/>
      <w:r w:rsidRPr="00691818">
        <w:rPr>
          <w:rFonts w:ascii="Verdana" w:hAnsi="Verdana"/>
          <w:lang w:val="en-US"/>
        </w:rPr>
        <w:t>En</w:t>
      </w:r>
      <w:proofErr w:type="spellEnd"/>
      <w:r w:rsidRPr="00691818">
        <w:rPr>
          <w:rFonts w:ascii="Verdana" w:hAnsi="Verdana"/>
          <w:lang w:val="en-US"/>
        </w:rPr>
        <w:t xml:space="preserve"> </w:t>
      </w:r>
      <w:r w:rsidRPr="00691818">
        <w:rPr>
          <w:rFonts w:ascii="Verdana" w:hAnsi="Verdana"/>
          <w:i/>
          <w:lang w:val="en-US"/>
        </w:rPr>
        <w:t>British Journal of Industrial Relations</w:t>
      </w:r>
      <w:r w:rsidRPr="00691818">
        <w:rPr>
          <w:rFonts w:ascii="Verdana" w:hAnsi="Verdana"/>
          <w:lang w:val="en-US"/>
        </w:rPr>
        <w:t xml:space="preserve">, vol. 35, </w:t>
      </w:r>
      <w:proofErr w:type="spellStart"/>
      <w:r w:rsidRPr="00691818">
        <w:rPr>
          <w:rFonts w:ascii="Verdana" w:hAnsi="Verdana"/>
          <w:lang w:val="en-US"/>
        </w:rPr>
        <w:t>núm</w:t>
      </w:r>
      <w:proofErr w:type="spellEnd"/>
      <w:r w:rsidRPr="00691818">
        <w:rPr>
          <w:rFonts w:ascii="Verdana" w:hAnsi="Verdana"/>
          <w:lang w:val="en-US"/>
        </w:rPr>
        <w:t>. 4, pp. 515-546.</w:t>
      </w:r>
    </w:p>
    <w:p w:rsidR="00691818" w:rsidRPr="00691818" w:rsidRDefault="00691818" w:rsidP="00691818">
      <w:pPr>
        <w:spacing w:line="23" w:lineRule="atLeast"/>
        <w:jc w:val="both"/>
        <w:rPr>
          <w:rFonts w:ascii="Verdana" w:hAnsi="Verdana" w:cstheme="minorHAnsi"/>
          <w:lang w:val="en-US"/>
        </w:rPr>
      </w:pPr>
      <w:r w:rsidRPr="00691818">
        <w:rPr>
          <w:rFonts w:ascii="Verdana" w:hAnsi="Verdana" w:cstheme="minorHAnsi"/>
          <w:lang w:val="en-US"/>
        </w:rPr>
        <w:t>Webster, E.; Bischoff, C. (2011): “</w:t>
      </w:r>
      <w:r w:rsidRPr="00691818">
        <w:rPr>
          <w:rFonts w:ascii="Verdana" w:hAnsi="Verdana" w:cstheme="minorHAnsi"/>
          <w:bCs/>
          <w:lang w:val="en-US"/>
        </w:rPr>
        <w:t xml:space="preserve">New Actors in Employment Relations in the Periphery: Closing the Representation Gap amongst Micro and Small Enterprises”. </w:t>
      </w:r>
      <w:proofErr w:type="spellStart"/>
      <w:r w:rsidRPr="00691818">
        <w:rPr>
          <w:rFonts w:ascii="Verdana" w:hAnsi="Verdana" w:cstheme="minorHAnsi"/>
          <w:bCs/>
          <w:lang w:val="en-US"/>
        </w:rPr>
        <w:t>En</w:t>
      </w:r>
      <w:proofErr w:type="spellEnd"/>
      <w:r w:rsidRPr="00691818">
        <w:rPr>
          <w:rFonts w:ascii="Verdana" w:hAnsi="Verdana" w:cstheme="minorHAnsi"/>
          <w:bCs/>
          <w:lang w:val="en-US"/>
        </w:rPr>
        <w:t xml:space="preserve"> </w:t>
      </w:r>
      <w:r w:rsidRPr="00691818">
        <w:rPr>
          <w:rFonts w:ascii="Verdana" w:hAnsi="Verdana" w:cstheme="minorHAnsi"/>
          <w:i/>
          <w:iCs/>
          <w:lang w:val="en-US"/>
        </w:rPr>
        <w:t xml:space="preserve">Relations </w:t>
      </w:r>
      <w:proofErr w:type="spellStart"/>
      <w:r w:rsidRPr="00691818">
        <w:rPr>
          <w:rFonts w:ascii="Verdana" w:hAnsi="Verdana" w:cstheme="minorHAnsi"/>
          <w:i/>
          <w:iCs/>
          <w:lang w:val="en-US"/>
        </w:rPr>
        <w:t>Industrielles</w:t>
      </w:r>
      <w:proofErr w:type="spellEnd"/>
      <w:r w:rsidRPr="00691818">
        <w:rPr>
          <w:rFonts w:ascii="Verdana" w:hAnsi="Verdana" w:cstheme="minorHAnsi"/>
          <w:iCs/>
          <w:lang w:val="en-US"/>
        </w:rPr>
        <w:t xml:space="preserve">, </w:t>
      </w:r>
      <w:r w:rsidRPr="00691818">
        <w:rPr>
          <w:rFonts w:ascii="Verdana" w:hAnsi="Verdana" w:cstheme="minorHAnsi"/>
          <w:lang w:val="en-US"/>
        </w:rPr>
        <w:t xml:space="preserve">vol. 66, </w:t>
      </w:r>
      <w:proofErr w:type="spellStart"/>
      <w:r w:rsidRPr="00691818">
        <w:rPr>
          <w:rFonts w:ascii="Verdana" w:hAnsi="Verdana" w:cstheme="minorHAnsi"/>
          <w:lang w:val="en-US"/>
        </w:rPr>
        <w:t>núm</w:t>
      </w:r>
      <w:proofErr w:type="spellEnd"/>
      <w:r w:rsidRPr="00691818">
        <w:rPr>
          <w:rFonts w:ascii="Verdana" w:hAnsi="Verdana" w:cstheme="minorHAnsi"/>
          <w:lang w:val="en-US"/>
        </w:rPr>
        <w:t>. 1, pp. 11-33.</w:t>
      </w:r>
    </w:p>
    <w:p w:rsidR="00C3138A" w:rsidRPr="00C3138A" w:rsidRDefault="00C3138A" w:rsidP="00C3138A">
      <w:pPr>
        <w:spacing w:line="240" w:lineRule="auto"/>
        <w:jc w:val="both"/>
        <w:rPr>
          <w:rFonts w:ascii="Verdana" w:hAnsi="Verdana" w:cs="Calibri"/>
        </w:rPr>
      </w:pPr>
    </w:p>
    <w:p w:rsidR="006010D0" w:rsidRPr="004A2CCE" w:rsidRDefault="006010D0" w:rsidP="006010D0">
      <w:pPr>
        <w:tabs>
          <w:tab w:val="left" w:pos="2925"/>
        </w:tabs>
        <w:jc w:val="both"/>
        <w:rPr>
          <w:rFonts w:cs="Calibri"/>
        </w:rPr>
      </w:pPr>
      <w:r w:rsidRPr="004A2CCE">
        <w:rPr>
          <w:rFonts w:cs="Calibri"/>
        </w:rPr>
        <w:tab/>
      </w:r>
    </w:p>
    <w:p w:rsidR="006010D0" w:rsidRPr="004A2CCE" w:rsidRDefault="006010D0" w:rsidP="006010D0">
      <w:pPr>
        <w:jc w:val="both"/>
        <w:rPr>
          <w:rFonts w:cs="Calibri"/>
        </w:rPr>
      </w:pPr>
    </w:p>
    <w:p w:rsidR="006010D0" w:rsidRPr="008E0628" w:rsidRDefault="006010D0" w:rsidP="000E1970">
      <w:pPr>
        <w:spacing w:after="0" w:line="240" w:lineRule="auto"/>
        <w:jc w:val="both"/>
        <w:rPr>
          <w:rFonts w:ascii="Verdana" w:hAnsi="Verdana"/>
        </w:rPr>
      </w:pPr>
    </w:p>
    <w:sectPr w:rsidR="006010D0" w:rsidRPr="008E062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ere Jodar" w:date="2014-11-28T13:23:00Z" w:initials="PJ">
    <w:p w:rsidR="00D509BC" w:rsidRDefault="00D509BC" w:rsidP="00D509BC">
      <w:pPr>
        <w:pStyle w:val="Textocomentario"/>
      </w:pPr>
      <w:r>
        <w:rPr>
          <w:rStyle w:val="Refdecomentario"/>
        </w:rPr>
        <w:annotationRef/>
      </w:r>
      <w:r>
        <w:t xml:space="preserve">Nota explicando siglas: </w:t>
      </w:r>
      <w:proofErr w:type="spellStart"/>
      <w:r>
        <w:t>afliación</w:t>
      </w:r>
      <w:proofErr w:type="spellEnd"/>
      <w:r>
        <w:t>, representación, cobertura</w:t>
      </w:r>
    </w:p>
  </w:comment>
  <w:comment w:id="1" w:author="Pere Jodar" w:date="2014-11-28T13:23:00Z" w:initials="PJ">
    <w:p w:rsidR="00D509BC" w:rsidRDefault="00D509BC" w:rsidP="00D509BC">
      <w:pPr>
        <w:pStyle w:val="Textocomentario"/>
      </w:pPr>
      <w:r>
        <w:rPr>
          <w:rStyle w:val="Refdecomentario"/>
        </w:rPr>
        <w:annotationRef/>
      </w:r>
      <w:r>
        <w:t>Especificar la fuente</w:t>
      </w:r>
    </w:p>
  </w:comment>
  <w:comment w:id="2" w:author="Pere Jodar" w:date="2014-11-28T13:43:00Z" w:initials="PJ">
    <w:p w:rsidR="006010D0" w:rsidRDefault="006010D0" w:rsidP="006010D0">
      <w:pPr>
        <w:pStyle w:val="Textocomentario"/>
      </w:pPr>
      <w:r>
        <w:rPr>
          <w:rStyle w:val="Refdecomentario"/>
        </w:rPr>
        <w:annotationRef/>
      </w:r>
      <w:r>
        <w:t>3.1, no. 3.11???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93" w:rsidRDefault="00735293" w:rsidP="00FE4D46">
      <w:pPr>
        <w:spacing w:after="0" w:line="240" w:lineRule="auto"/>
      </w:pPr>
      <w:r>
        <w:separator/>
      </w:r>
    </w:p>
  </w:endnote>
  <w:endnote w:type="continuationSeparator" w:id="0">
    <w:p w:rsidR="00735293" w:rsidRDefault="00735293" w:rsidP="00FE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Baskerville-Roman">
    <w:panose1 w:val="00000000000000000000"/>
    <w:charset w:val="00"/>
    <w:family w:val="auto"/>
    <w:notTrueType/>
    <w:pitch w:val="default"/>
    <w:sig w:usb0="00000003" w:usb1="00000000" w:usb2="00000000" w:usb3="00000000" w:csb0="00000001" w:csb1="00000000"/>
  </w:font>
  <w:font w:name="NewBaskerville-Italic">
    <w:panose1 w:val="00000000000000000000"/>
    <w:charset w:val="00"/>
    <w:family w:val="auto"/>
    <w:notTrueType/>
    <w:pitch w:val="default"/>
    <w:sig w:usb0="00000003" w:usb1="00000000" w:usb2="00000000" w:usb3="00000000" w:csb0="00000001" w:csb1="00000000"/>
  </w:font>
  <w:font w:name="Tisa">
    <w:panose1 w:val="00000000000000000000"/>
    <w:charset w:val="00"/>
    <w:family w:val="roman"/>
    <w:notTrueType/>
    <w:pitch w:val="default"/>
    <w:sig w:usb0="00000003" w:usb1="00000000" w:usb2="00000000" w:usb3="00000000" w:csb0="00000001" w:csb1="00000000"/>
  </w:font>
  <w:font w:name="Tisa-Ita">
    <w:panose1 w:val="00000000000000000000"/>
    <w:charset w:val="00"/>
    <w:family w:val="roman"/>
    <w:notTrueType/>
    <w:pitch w:val="default"/>
    <w:sig w:usb0="00000003" w:usb1="00000000" w:usb2="00000000" w:usb3="00000000" w:csb0="00000001" w:csb1="00000000"/>
  </w:font>
  <w:font w:name="TradeGothicLTStd-Bold">
    <w:panose1 w:val="00000000000000000000"/>
    <w:charset w:val="00"/>
    <w:family w:val="swiss"/>
    <w:notTrueType/>
    <w:pitch w:val="default"/>
    <w:sig w:usb0="00000003" w:usb1="00000000" w:usb2="00000000" w:usb3="00000000" w:csb0="00000001" w:csb1="00000000"/>
  </w:font>
  <w:font w:name="AdvTT5843c571">
    <w:panose1 w:val="00000000000000000000"/>
    <w:charset w:val="00"/>
    <w:family w:val="auto"/>
    <w:notTrueType/>
    <w:pitch w:val="default"/>
    <w:sig w:usb0="00000003" w:usb1="00000000" w:usb2="00000000" w:usb3="00000000" w:csb0="00000001" w:csb1="00000000"/>
  </w:font>
  <w:font w:name="AdvP4A9298">
    <w:panose1 w:val="00000000000000000000"/>
    <w:charset w:val="00"/>
    <w:family w:val="swiss"/>
    <w:notTrueType/>
    <w:pitch w:val="default"/>
    <w:sig w:usb0="00000003" w:usb1="00000000" w:usb2="00000000" w:usb3="00000000" w:csb0="00000001" w:csb1="00000000"/>
  </w:font>
  <w:font w:name="AdvP4A967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93" w:rsidRDefault="00735293" w:rsidP="00FE4D46">
      <w:pPr>
        <w:spacing w:after="0" w:line="240" w:lineRule="auto"/>
      </w:pPr>
      <w:r>
        <w:separator/>
      </w:r>
    </w:p>
  </w:footnote>
  <w:footnote w:type="continuationSeparator" w:id="0">
    <w:p w:rsidR="00735293" w:rsidRDefault="00735293" w:rsidP="00FE4D46">
      <w:pPr>
        <w:spacing w:after="0" w:line="240" w:lineRule="auto"/>
      </w:pPr>
      <w:r>
        <w:continuationSeparator/>
      </w:r>
    </w:p>
  </w:footnote>
  <w:footnote w:id="1">
    <w:p w:rsidR="00D509BC" w:rsidRDefault="00D509BC" w:rsidP="00FE4D46">
      <w:pPr>
        <w:autoSpaceDE w:val="0"/>
        <w:autoSpaceDN w:val="0"/>
        <w:adjustRightInd w:val="0"/>
        <w:spacing w:after="120" w:line="240" w:lineRule="auto"/>
        <w:jc w:val="both"/>
      </w:pPr>
      <w:r>
        <w:rPr>
          <w:rStyle w:val="Refdenotaalpie"/>
          <w:sz w:val="20"/>
          <w:szCs w:val="20"/>
        </w:rPr>
        <w:footnoteRef/>
      </w:r>
      <w:r>
        <w:rPr>
          <w:sz w:val="20"/>
          <w:szCs w:val="20"/>
        </w:rPr>
        <w:t xml:space="preserve"> </w:t>
      </w:r>
      <w:proofErr w:type="spellStart"/>
      <w:r>
        <w:rPr>
          <w:sz w:val="20"/>
          <w:szCs w:val="20"/>
        </w:rPr>
        <w:t>Peetz</w:t>
      </w:r>
      <w:proofErr w:type="spellEnd"/>
      <w:r>
        <w:rPr>
          <w:sz w:val="20"/>
          <w:szCs w:val="20"/>
        </w:rPr>
        <w:t xml:space="preserve"> y </w:t>
      </w:r>
      <w:proofErr w:type="spellStart"/>
      <w:r>
        <w:rPr>
          <w:sz w:val="20"/>
          <w:szCs w:val="20"/>
        </w:rPr>
        <w:t>Pocock</w:t>
      </w:r>
      <w:proofErr w:type="spellEnd"/>
      <w:r>
        <w:rPr>
          <w:sz w:val="20"/>
          <w:szCs w:val="20"/>
        </w:rPr>
        <w:t xml:space="preserve"> (2009) definen el poder sindical como </w:t>
      </w:r>
      <w:r>
        <w:rPr>
          <w:rFonts w:cs="Calibri"/>
          <w:sz w:val="20"/>
          <w:szCs w:val="20"/>
        </w:rPr>
        <w:t>identificación de intereses colectivos y capacidad de generar un sentimiento de queja o reivindicación compartido; también capacidad de generar actitudes colectivas y cooperadoras. Aunque advierten que los trabajadores no percibirán positivo el poder sindical si no tienen voz efectiva en el sindicato, o mecanismos de participación (democracia participativa).</w:t>
      </w:r>
    </w:p>
  </w:footnote>
  <w:footnote w:id="2">
    <w:p w:rsidR="00D509BC" w:rsidRDefault="00D509BC" w:rsidP="00FE4D46">
      <w:pPr>
        <w:pStyle w:val="Textonotapie"/>
        <w:spacing w:after="120"/>
        <w:jc w:val="both"/>
      </w:pPr>
      <w:r>
        <w:rPr>
          <w:rStyle w:val="Refdenotaalpie"/>
        </w:rPr>
        <w:footnoteRef/>
      </w:r>
      <w:r>
        <w:t xml:space="preserve"> Al respecto y para el caso francés, uno de los países en los que la huelga general ha servido como observatorio de la legitimación de la demanda de los trabajadores frente a empresas o estado, ver </w:t>
      </w:r>
      <w:proofErr w:type="spellStart"/>
      <w:r>
        <w:t>Milner</w:t>
      </w:r>
      <w:proofErr w:type="spellEnd"/>
      <w:r>
        <w:t xml:space="preserve"> y </w:t>
      </w:r>
      <w:proofErr w:type="spellStart"/>
      <w:r>
        <w:t>Mathers</w:t>
      </w:r>
      <w:proofErr w:type="spellEnd"/>
      <w:r>
        <w:t xml:space="preserve"> (2013).</w:t>
      </w:r>
    </w:p>
  </w:footnote>
  <w:footnote w:id="3">
    <w:p w:rsidR="00D509BC" w:rsidRDefault="00D509BC" w:rsidP="00FE4D46">
      <w:pPr>
        <w:pStyle w:val="Textonotapie"/>
        <w:spacing w:after="120" w:line="240" w:lineRule="auto"/>
        <w:jc w:val="both"/>
        <w:rPr>
          <w:lang w:val="en-US"/>
        </w:rPr>
      </w:pPr>
      <w:r>
        <w:rPr>
          <w:rStyle w:val="Refdenotaalpie"/>
        </w:rPr>
        <w:footnoteRef/>
      </w:r>
      <w:r>
        <w:rPr>
          <w:lang w:val="en-GB"/>
        </w:rPr>
        <w:t xml:space="preserve"> </w:t>
      </w:r>
      <w:proofErr w:type="spellStart"/>
      <w:r>
        <w:rPr>
          <w:lang w:val="en-GB"/>
        </w:rPr>
        <w:t>Ver</w:t>
      </w:r>
      <w:proofErr w:type="spellEnd"/>
      <w:r>
        <w:rPr>
          <w:lang w:val="en-GB"/>
        </w:rPr>
        <w:t xml:space="preserve"> Freeman y </w:t>
      </w:r>
      <w:proofErr w:type="spellStart"/>
      <w:r>
        <w:rPr>
          <w:lang w:val="en-GB"/>
        </w:rPr>
        <w:t>Medoff</w:t>
      </w:r>
      <w:proofErr w:type="spellEnd"/>
      <w:r>
        <w:rPr>
          <w:lang w:val="en-GB"/>
        </w:rPr>
        <w:t xml:space="preserve"> (1984), Farber (1989), </w:t>
      </w:r>
      <w:proofErr w:type="spellStart"/>
      <w:r>
        <w:rPr>
          <w:lang w:val="en-GB"/>
        </w:rPr>
        <w:t>Visser</w:t>
      </w:r>
      <w:proofErr w:type="spellEnd"/>
      <w:r>
        <w:rPr>
          <w:lang w:val="en-GB"/>
        </w:rPr>
        <w:t xml:space="preserve"> (2002), </w:t>
      </w:r>
      <w:r>
        <w:rPr>
          <w:lang w:val="en-US"/>
        </w:rPr>
        <w:t xml:space="preserve">Waddington y </w:t>
      </w:r>
      <w:proofErr w:type="spellStart"/>
      <w:r>
        <w:rPr>
          <w:lang w:val="en-US"/>
        </w:rPr>
        <w:t>Whitston</w:t>
      </w:r>
      <w:proofErr w:type="spellEnd"/>
      <w:r>
        <w:rPr>
          <w:lang w:val="en-US"/>
        </w:rPr>
        <w:t xml:space="preserve"> (1997).</w:t>
      </w:r>
    </w:p>
  </w:footnote>
  <w:footnote w:id="4">
    <w:p w:rsidR="00D509BC" w:rsidRDefault="00D509BC" w:rsidP="00FE4D46">
      <w:pPr>
        <w:autoSpaceDE w:val="0"/>
        <w:autoSpaceDN w:val="0"/>
        <w:adjustRightInd w:val="0"/>
        <w:spacing w:after="120" w:line="240" w:lineRule="auto"/>
        <w:jc w:val="both"/>
      </w:pPr>
      <w:r>
        <w:rPr>
          <w:rStyle w:val="Refdenotaalpie"/>
          <w:sz w:val="20"/>
          <w:szCs w:val="20"/>
        </w:rPr>
        <w:footnoteRef/>
      </w:r>
      <w:r>
        <w:rPr>
          <w:sz w:val="20"/>
          <w:szCs w:val="20"/>
        </w:rPr>
        <w:t xml:space="preserve"> Al respecto Bentham (2002) pone el acento en la importancia de la oposición empresarial en las elecciones sindicales (certificación sindical) en un país -Canadá- en el que los autores pasaban por alto, por inesperado, este efecto que puede suponer el fin de la carrera del asalariado sindicalizado, la pérdida de condiciones de trabajo, o su despido. Sin entrar en la casuística de la mediana o gran empresa española, la multitud de pequeñas empresas del país tienen un margen amplio de maniobra para realizar prácticas poco amistosas hacia los representantes de los trabajadores.</w:t>
      </w:r>
    </w:p>
  </w:footnote>
  <w:footnote w:id="5">
    <w:p w:rsidR="00D509BC" w:rsidRDefault="00D509BC" w:rsidP="00FE4D46">
      <w:pPr>
        <w:autoSpaceDE w:val="0"/>
        <w:autoSpaceDN w:val="0"/>
        <w:adjustRightInd w:val="0"/>
        <w:spacing w:after="120" w:line="240" w:lineRule="auto"/>
        <w:jc w:val="both"/>
      </w:pPr>
      <w:r>
        <w:rPr>
          <w:rStyle w:val="Refdenotaalpie"/>
          <w:sz w:val="20"/>
          <w:szCs w:val="20"/>
        </w:rPr>
        <w:footnoteRef/>
      </w:r>
      <w:r>
        <w:rPr>
          <w:sz w:val="20"/>
          <w:szCs w:val="20"/>
        </w:rPr>
        <w:t xml:space="preserve"> </w:t>
      </w:r>
      <w:proofErr w:type="spellStart"/>
      <w:r>
        <w:rPr>
          <w:sz w:val="20"/>
          <w:szCs w:val="20"/>
        </w:rPr>
        <w:t>Fairbrother</w:t>
      </w:r>
      <w:proofErr w:type="spellEnd"/>
      <w:r>
        <w:rPr>
          <w:sz w:val="20"/>
          <w:szCs w:val="20"/>
        </w:rPr>
        <w:t xml:space="preserve"> (1986) expresa que la d</w:t>
      </w:r>
      <w:r>
        <w:rPr>
          <w:rFonts w:cs="Calibri"/>
          <w:sz w:val="20"/>
          <w:szCs w:val="20"/>
        </w:rPr>
        <w:t xml:space="preserve">emocracia sindical es una condición para que el sindicato realice los intereses de sus miembros; hay democracia cuando sus miembros están activamente implicados en la formulación de la política sindical, en los procesos de negociación, en la elección y control de los delegados y permanentes, y en la organización de la acción sindical. </w:t>
      </w:r>
    </w:p>
  </w:footnote>
  <w:footnote w:id="6">
    <w:p w:rsidR="00D509BC" w:rsidRDefault="00D509BC" w:rsidP="00FE4D46">
      <w:pPr>
        <w:autoSpaceDE w:val="0"/>
        <w:autoSpaceDN w:val="0"/>
        <w:adjustRightInd w:val="0"/>
        <w:spacing w:after="120" w:line="240" w:lineRule="auto"/>
        <w:jc w:val="both"/>
      </w:pPr>
      <w:r>
        <w:rPr>
          <w:rStyle w:val="Refdenotaalpie"/>
          <w:sz w:val="20"/>
          <w:szCs w:val="20"/>
        </w:rPr>
        <w:footnoteRef/>
      </w:r>
      <w:r>
        <w:rPr>
          <w:sz w:val="20"/>
          <w:szCs w:val="20"/>
        </w:rPr>
        <w:t xml:space="preserve"> Sobre la representación colectiva y el papel de los delegados es muy interesante el número especial de la revista del IRES. Ver presentación</w:t>
      </w:r>
      <w:r>
        <w:rPr>
          <w:sz w:val="20"/>
          <w:szCs w:val="20"/>
          <w:lang w:val="ca-ES"/>
        </w:rPr>
        <w:t xml:space="preserve"> por </w:t>
      </w:r>
      <w:proofErr w:type="spellStart"/>
      <w:r>
        <w:rPr>
          <w:sz w:val="20"/>
          <w:szCs w:val="20"/>
          <w:lang w:val="ca-ES"/>
        </w:rPr>
        <w:t>Dufour</w:t>
      </w:r>
      <w:proofErr w:type="spellEnd"/>
      <w:r>
        <w:rPr>
          <w:sz w:val="20"/>
          <w:szCs w:val="20"/>
          <w:lang w:val="ca-ES"/>
        </w:rPr>
        <w:t xml:space="preserve"> et al. </w:t>
      </w:r>
      <w:r>
        <w:rPr>
          <w:sz w:val="20"/>
          <w:szCs w:val="20"/>
          <w:lang w:val="ca-ES"/>
        </w:rPr>
        <w:t xml:space="preserve">(2010). </w:t>
      </w:r>
    </w:p>
  </w:footnote>
  <w:footnote w:id="7">
    <w:p w:rsidR="00D509BC" w:rsidRDefault="00D509BC" w:rsidP="00FE4D46">
      <w:pPr>
        <w:pStyle w:val="Textonotapie"/>
        <w:spacing w:after="120" w:line="240" w:lineRule="auto"/>
        <w:jc w:val="both"/>
      </w:pPr>
      <w:r>
        <w:rPr>
          <w:rStyle w:val="Refdenotaalpie"/>
        </w:rPr>
        <w:footnoteRef/>
      </w:r>
      <w:r>
        <w:t xml:space="preserve"> Debe destacarse del artículo de </w:t>
      </w:r>
      <w:proofErr w:type="spellStart"/>
      <w:r>
        <w:t>Hege</w:t>
      </w:r>
      <w:proofErr w:type="spellEnd"/>
      <w:r>
        <w:t xml:space="preserve"> et al. (2011) que, además de caracterizar su papel, ofrece un excelente repaso a la literatura sobre los delegados sindicales. También desde un punto de vista más teórico, es relevante el estado de la cuestión expuesto por Chang (2005).</w:t>
      </w:r>
    </w:p>
  </w:footnote>
  <w:footnote w:id="8">
    <w:p w:rsidR="00D509BC" w:rsidRDefault="00D509BC" w:rsidP="00FE4D46">
      <w:pPr>
        <w:spacing w:after="120" w:line="240" w:lineRule="auto"/>
        <w:jc w:val="both"/>
      </w:pPr>
      <w:r>
        <w:rPr>
          <w:rStyle w:val="Refdenotaalpie"/>
          <w:sz w:val="20"/>
          <w:szCs w:val="20"/>
        </w:rPr>
        <w:footnoteRef/>
      </w:r>
      <w:r>
        <w:rPr>
          <w:sz w:val="20"/>
          <w:szCs w:val="20"/>
        </w:rPr>
        <w:t xml:space="preserve"> </w:t>
      </w:r>
      <w:proofErr w:type="spellStart"/>
      <w:r>
        <w:rPr>
          <w:sz w:val="20"/>
          <w:szCs w:val="20"/>
        </w:rPr>
        <w:t>Simms</w:t>
      </w:r>
      <w:proofErr w:type="spellEnd"/>
      <w:r>
        <w:rPr>
          <w:sz w:val="20"/>
          <w:szCs w:val="20"/>
        </w:rPr>
        <w:t xml:space="preserve"> (2011) explicita las grandes líneas de acción del sindicato y de los delegados en una campaña de implantación o de innovación:</w:t>
      </w:r>
      <w:r>
        <w:rPr>
          <w:rFonts w:cs="Calibri"/>
          <w:color w:val="111111"/>
          <w:sz w:val="20"/>
          <w:szCs w:val="20"/>
        </w:rPr>
        <w:t xml:space="preserve"> reclutamiento y extensión (campañas electorales, información, comunicación), representación, desarrollo de la actividad sindical en la empresa (gestión de quejas y demandas, convocatorias de reuniones, asambleas, movilización, formación), trato con la empresa (negociación, control del convenio, órganos mixtos, actitud de la empresa, relación con el sindicato externo. Chang (2005) por su parte amplía a dieciséis las funciones de los delegados.</w:t>
      </w:r>
    </w:p>
  </w:footnote>
  <w:footnote w:id="9">
    <w:p w:rsidR="00D509BC" w:rsidRDefault="00D509BC" w:rsidP="00FE4D46">
      <w:pPr>
        <w:pStyle w:val="Textonotapie"/>
        <w:spacing w:after="120" w:line="240" w:lineRule="auto"/>
        <w:jc w:val="both"/>
      </w:pPr>
      <w:r>
        <w:rPr>
          <w:rStyle w:val="Refdenotaalpie"/>
        </w:rPr>
        <w:footnoteRef/>
      </w:r>
      <w:r>
        <w:t xml:space="preserve"> Que </w:t>
      </w:r>
      <w:proofErr w:type="spellStart"/>
      <w:r>
        <w:t>Webster</w:t>
      </w:r>
      <w:proofErr w:type="spellEnd"/>
      <w:r>
        <w:t xml:space="preserve"> y </w:t>
      </w:r>
      <w:proofErr w:type="spellStart"/>
      <w:r>
        <w:t>Bischoff</w:t>
      </w:r>
      <w:proofErr w:type="spellEnd"/>
      <w:r>
        <w:t xml:space="preserve"> (2011) caracterizan para ocho países periféricos.</w:t>
      </w:r>
    </w:p>
  </w:footnote>
  <w:footnote w:id="10">
    <w:p w:rsidR="00D509BC" w:rsidRDefault="00D509BC" w:rsidP="00FE4D46">
      <w:pPr>
        <w:pStyle w:val="Textonotapie"/>
        <w:spacing w:after="120" w:line="240" w:lineRule="auto"/>
        <w:jc w:val="both"/>
      </w:pPr>
      <w:r>
        <w:rPr>
          <w:rStyle w:val="Refdenotaalpie"/>
        </w:rPr>
        <w:footnoteRef/>
      </w:r>
      <w:r>
        <w:t xml:space="preserve"> Ver </w:t>
      </w:r>
      <w:proofErr w:type="spellStart"/>
      <w:r>
        <w:rPr>
          <w:rFonts w:cs="Calibri"/>
          <w:iCs/>
        </w:rPr>
        <w:t>Charlwood</w:t>
      </w:r>
      <w:proofErr w:type="spellEnd"/>
      <w:r>
        <w:rPr>
          <w:rFonts w:cs="Calibri"/>
          <w:iCs/>
        </w:rPr>
        <w:t xml:space="preserve"> y </w:t>
      </w:r>
      <w:proofErr w:type="spellStart"/>
      <w:r>
        <w:rPr>
          <w:rFonts w:cs="Calibri"/>
          <w:iCs/>
        </w:rPr>
        <w:t>Forth</w:t>
      </w:r>
      <w:proofErr w:type="spellEnd"/>
      <w:r>
        <w:rPr>
          <w:rFonts w:cs="Calibri"/>
          <w:iCs/>
        </w:rPr>
        <w:t xml:space="preserve"> (2011) para el caso británico.</w:t>
      </w:r>
    </w:p>
  </w:footnote>
  <w:footnote w:id="11">
    <w:p w:rsidR="00D509BC" w:rsidRDefault="00D509BC" w:rsidP="00FE4D46">
      <w:pPr>
        <w:tabs>
          <w:tab w:val="left" w:pos="851"/>
        </w:tabs>
        <w:autoSpaceDE w:val="0"/>
        <w:autoSpaceDN w:val="0"/>
        <w:adjustRightInd w:val="0"/>
        <w:spacing w:after="120" w:line="240" w:lineRule="auto"/>
        <w:jc w:val="both"/>
      </w:pPr>
      <w:r>
        <w:rPr>
          <w:rStyle w:val="Refdenotaalpie"/>
          <w:sz w:val="20"/>
          <w:szCs w:val="20"/>
        </w:rPr>
        <w:footnoteRef/>
      </w:r>
      <w:r>
        <w:rPr>
          <w:rFonts w:cs="Calibri"/>
          <w:sz w:val="20"/>
          <w:szCs w:val="20"/>
        </w:rPr>
        <w:t xml:space="preserve"> El autor concluye de forma optimista sobre el carácter complementario en tareas representativas y de voz, del conjunto multiforme que analiza. Por su parte, </w:t>
      </w:r>
      <w:proofErr w:type="spellStart"/>
      <w:r>
        <w:rPr>
          <w:sz w:val="20"/>
          <w:szCs w:val="20"/>
        </w:rPr>
        <w:t>Pyman</w:t>
      </w:r>
      <w:proofErr w:type="spellEnd"/>
      <w:r>
        <w:rPr>
          <w:sz w:val="20"/>
          <w:szCs w:val="20"/>
        </w:rPr>
        <w:t xml:space="preserve"> et al. (2006) también subrayan el carácter complementario de las diferentes formas de representación para el caso australiano. </w:t>
      </w:r>
    </w:p>
  </w:footnote>
  <w:footnote w:id="12">
    <w:p w:rsidR="00D509BC" w:rsidRDefault="00D509BC" w:rsidP="00FE4D46">
      <w:pPr>
        <w:autoSpaceDE w:val="0"/>
        <w:autoSpaceDN w:val="0"/>
        <w:adjustRightInd w:val="0"/>
        <w:spacing w:after="120" w:line="240" w:lineRule="auto"/>
        <w:jc w:val="both"/>
      </w:pPr>
      <w:r>
        <w:rPr>
          <w:rStyle w:val="Refdenotaalpie"/>
          <w:sz w:val="20"/>
          <w:szCs w:val="20"/>
        </w:rPr>
        <w:footnoteRef/>
      </w:r>
      <w:r>
        <w:rPr>
          <w:sz w:val="20"/>
          <w:szCs w:val="20"/>
        </w:rPr>
        <w:t xml:space="preserve"> La comparación entre Alemania, Francia y España de</w:t>
      </w:r>
      <w:r>
        <w:rPr>
          <w:rFonts w:cs="Calibri"/>
          <w:sz w:val="20"/>
          <w:szCs w:val="20"/>
        </w:rPr>
        <w:t xml:space="preserve"> </w:t>
      </w:r>
      <w:proofErr w:type="spellStart"/>
      <w:r>
        <w:rPr>
          <w:rFonts w:cs="Calibri"/>
          <w:sz w:val="20"/>
          <w:szCs w:val="20"/>
        </w:rPr>
        <w:t>Rigby</w:t>
      </w:r>
      <w:proofErr w:type="spellEnd"/>
      <w:r>
        <w:rPr>
          <w:rFonts w:cs="Calibri"/>
          <w:sz w:val="20"/>
          <w:szCs w:val="20"/>
        </w:rPr>
        <w:t xml:space="preserve"> et al. (2009) muestra que pese a algunas previsiones que dibujaban un escenario con comités unitarios dedicados a la empresa y sindicatos externos, la complementariedad es un hecho aceptado no sin resistencia por la patronal; por ello advierten de la necesidad de un marco institucional o legal claro.</w:t>
      </w:r>
    </w:p>
  </w:footnote>
  <w:footnote w:id="13">
    <w:p w:rsidR="00D509BC" w:rsidRDefault="00D509BC" w:rsidP="00FE4D46">
      <w:pPr>
        <w:pStyle w:val="Textonotapie"/>
        <w:spacing w:after="120" w:line="240" w:lineRule="auto"/>
        <w:jc w:val="both"/>
      </w:pPr>
      <w:r>
        <w:rPr>
          <w:rStyle w:val="Refdenotaalpie"/>
        </w:rPr>
        <w:footnoteRef/>
      </w:r>
      <w:r>
        <w:t xml:space="preserve"> Algunos autores hablan de la individualización propiciada por la gestión de recursos humanos como alternativa impulsada por las empresas para sustituir la gestión colectiva que implican las relaciones laborales (</w:t>
      </w:r>
      <w:proofErr w:type="spellStart"/>
      <w:r>
        <w:t>Beneyto</w:t>
      </w:r>
      <w:proofErr w:type="spellEnd"/>
      <w:r>
        <w:t xml:space="preserve">, 2011; </w:t>
      </w:r>
      <w:proofErr w:type="spellStart"/>
      <w:r>
        <w:t>Martinez</w:t>
      </w:r>
      <w:proofErr w:type="spellEnd"/>
      <w:r>
        <w:t xml:space="preserve"> Lucio, 2011).</w:t>
      </w:r>
    </w:p>
  </w:footnote>
  <w:footnote w:id="14">
    <w:p w:rsidR="00D509BC" w:rsidRDefault="00D509BC" w:rsidP="00FE4D46">
      <w:pPr>
        <w:pStyle w:val="Textonotapie"/>
        <w:spacing w:after="120" w:line="240" w:lineRule="auto"/>
        <w:jc w:val="both"/>
      </w:pPr>
      <w:r>
        <w:rPr>
          <w:rStyle w:val="Refdenotaalpie"/>
        </w:rPr>
        <w:footnoteRef/>
      </w:r>
      <w:r>
        <w:t xml:space="preserve"> Que el actual período de acumulación por desposesión, mal denominado crisis, ha activado aportando retos importantes. Para el caso español es relevante el número de Gaceta Sindical titulado por un nuevo impulso democrático (CCOO, 2013), especialmente los artículos de </w:t>
      </w:r>
      <w:proofErr w:type="spellStart"/>
      <w:r>
        <w:t>Miguélez</w:t>
      </w:r>
      <w:proofErr w:type="spellEnd"/>
      <w:r>
        <w:t>, Muro y Romanos, para comprender la necesidad de interacción entre ambas esferas de representación.</w:t>
      </w:r>
    </w:p>
  </w:footnote>
  <w:footnote w:id="15">
    <w:p w:rsidR="00D509BC" w:rsidRDefault="00D509BC" w:rsidP="00FE4D46">
      <w:pPr>
        <w:pStyle w:val="Textonotapie"/>
        <w:spacing w:after="120" w:line="240" w:lineRule="auto"/>
        <w:jc w:val="both"/>
      </w:pPr>
      <w:r>
        <w:rPr>
          <w:rStyle w:val="Refdenotaalpie"/>
        </w:rPr>
        <w:footnoteRef/>
      </w:r>
      <w:r>
        <w:t xml:space="preserve"> </w:t>
      </w:r>
      <w:proofErr w:type="spellStart"/>
      <w:r>
        <w:t>Charlwood</w:t>
      </w:r>
      <w:proofErr w:type="spellEnd"/>
      <w:r>
        <w:t xml:space="preserve"> y </w:t>
      </w:r>
      <w:proofErr w:type="spellStart"/>
      <w:r>
        <w:t>Forth</w:t>
      </w:r>
      <w:proofErr w:type="spellEnd"/>
      <w:r>
        <w:t xml:space="preserve"> (2011), para el caso inglés, muestran como gran parte del declive de la representación sindical en la empresa (</w:t>
      </w:r>
      <w:r>
        <w:rPr>
          <w:i/>
        </w:rPr>
        <w:t xml:space="preserve">shop </w:t>
      </w:r>
      <w:proofErr w:type="spellStart"/>
      <w:r>
        <w:rPr>
          <w:i/>
        </w:rPr>
        <w:t>stewards</w:t>
      </w:r>
      <w:proofErr w:type="spellEnd"/>
      <w:r>
        <w:t>) se debe a un menor reconocimiento y presencia de los sindicatos en las empresas, en buena parte debido a la actitud de las empresas favorecidas por los cambios institucionales impulsados por los sucesivos gobiernos desde la primera ministra Thatcher.</w:t>
      </w:r>
    </w:p>
  </w:footnote>
  <w:footnote w:id="16">
    <w:p w:rsidR="00D509BC" w:rsidRDefault="00D509BC" w:rsidP="00FE4D46">
      <w:pPr>
        <w:pStyle w:val="Textonotapie"/>
        <w:spacing w:after="120" w:line="240" w:lineRule="auto"/>
        <w:jc w:val="both"/>
      </w:pPr>
      <w:r>
        <w:rPr>
          <w:rStyle w:val="Refdenotaalpie"/>
        </w:rPr>
        <w:footnoteRef/>
      </w:r>
      <w:r>
        <w:t xml:space="preserve"> Un escenario contemplado por </w:t>
      </w:r>
      <w:proofErr w:type="spellStart"/>
      <w:r>
        <w:t>Lévesque</w:t>
      </w:r>
      <w:proofErr w:type="spellEnd"/>
      <w:r>
        <w:t xml:space="preserve"> y Murray (2010) cuando sostienen la posibilidad de cambiar las reglas del juego, ejemplarizándolo en el efecto Thatcher sobre los </w:t>
      </w:r>
      <w:r>
        <w:rPr>
          <w:i/>
        </w:rPr>
        <w:t xml:space="preserve">shop </w:t>
      </w:r>
      <w:proofErr w:type="spellStart"/>
      <w:r>
        <w:rPr>
          <w:i/>
        </w:rPr>
        <w:t>steward</w:t>
      </w:r>
      <w:proofErr w:type="spellEnd"/>
      <w:r>
        <w:t xml:space="preserve"> británicos.</w:t>
      </w:r>
    </w:p>
  </w:footnote>
  <w:footnote w:id="17">
    <w:p w:rsidR="00D509BC" w:rsidRDefault="00D509BC" w:rsidP="00FE4D46">
      <w:pPr>
        <w:shd w:val="clear" w:color="auto" w:fill="FFFFFF"/>
        <w:autoSpaceDE w:val="0"/>
        <w:autoSpaceDN w:val="0"/>
        <w:adjustRightInd w:val="0"/>
        <w:spacing w:after="120" w:line="240" w:lineRule="auto"/>
        <w:jc w:val="both"/>
        <w:textAlignment w:val="baseline"/>
      </w:pPr>
      <w:r>
        <w:rPr>
          <w:rStyle w:val="Refdenotaalpie"/>
          <w:sz w:val="20"/>
          <w:szCs w:val="20"/>
        </w:rPr>
        <w:footnoteRef/>
      </w:r>
      <w:r>
        <w:rPr>
          <w:sz w:val="20"/>
          <w:szCs w:val="20"/>
        </w:rPr>
        <w:t xml:space="preserve"> Otro ejemplo en este sentido, es el aportado por Bentham (2002), que muestra como la resistencia empresarial a la certificación sindical en Canadá, no sólo cuestiona la representación de los trabajadores, sino que limita la posibilidad de obtener convenios colectivos exitosos; lo que puede llegar a perjudicar a ambas partes. </w:t>
      </w:r>
    </w:p>
  </w:footnote>
  <w:footnote w:id="18">
    <w:p w:rsidR="00D509BC" w:rsidRDefault="00D509BC" w:rsidP="00FE4D46">
      <w:pPr>
        <w:pStyle w:val="Textonotapie"/>
        <w:spacing w:after="120" w:line="240" w:lineRule="auto"/>
        <w:jc w:val="both"/>
      </w:pPr>
      <w:r>
        <w:rPr>
          <w:rStyle w:val="Refdenotaalpie"/>
        </w:rPr>
        <w:footnoteRef/>
      </w:r>
      <w:r>
        <w:t xml:space="preserve"> Ver también para la comparación entre Francia, Alemania y España de </w:t>
      </w:r>
      <w:proofErr w:type="spellStart"/>
      <w:r>
        <w:t>Rigby</w:t>
      </w:r>
      <w:proofErr w:type="spellEnd"/>
      <w:r>
        <w:t xml:space="preserve"> et al. (2009).</w:t>
      </w:r>
    </w:p>
  </w:footnote>
  <w:footnote w:id="19">
    <w:p w:rsidR="00D509BC" w:rsidRDefault="00D509BC" w:rsidP="00FE4D46">
      <w:pPr>
        <w:pStyle w:val="Default"/>
        <w:spacing w:after="120"/>
        <w:jc w:val="both"/>
      </w:pPr>
      <w:r>
        <w:rPr>
          <w:rStyle w:val="Refdenotaalpie"/>
          <w:rFonts w:ascii="Calibri" w:hAnsi="Calibri"/>
          <w:sz w:val="20"/>
          <w:szCs w:val="20"/>
        </w:rPr>
        <w:footnoteRef/>
      </w:r>
      <w:r>
        <w:rPr>
          <w:rFonts w:ascii="Calibri" w:hAnsi="Calibri"/>
          <w:sz w:val="20"/>
          <w:szCs w:val="20"/>
        </w:rPr>
        <w:t xml:space="preserve"> </w:t>
      </w:r>
      <w:proofErr w:type="spellStart"/>
      <w:r>
        <w:rPr>
          <w:rFonts w:ascii="Calibri" w:hAnsi="Calibri"/>
          <w:sz w:val="20"/>
          <w:szCs w:val="20"/>
        </w:rPr>
        <w:t>Freeman</w:t>
      </w:r>
      <w:proofErr w:type="spellEnd"/>
      <w:r>
        <w:rPr>
          <w:rFonts w:ascii="Calibri" w:hAnsi="Calibri"/>
          <w:sz w:val="20"/>
          <w:szCs w:val="20"/>
        </w:rPr>
        <w:t xml:space="preserve"> (2007), haciendo público el análisis de la </w:t>
      </w:r>
      <w:proofErr w:type="spellStart"/>
      <w:r>
        <w:rPr>
          <w:rFonts w:ascii="Calibri" w:hAnsi="Calibri"/>
          <w:i/>
          <w:sz w:val="20"/>
          <w:szCs w:val="20"/>
        </w:rPr>
        <w:t>Worker</w:t>
      </w:r>
      <w:proofErr w:type="spellEnd"/>
      <w:r>
        <w:rPr>
          <w:rFonts w:ascii="Calibri" w:hAnsi="Calibri"/>
          <w:i/>
          <w:sz w:val="20"/>
          <w:szCs w:val="20"/>
        </w:rPr>
        <w:t xml:space="preserve"> </w:t>
      </w:r>
      <w:proofErr w:type="spellStart"/>
      <w:r>
        <w:rPr>
          <w:rFonts w:ascii="Calibri" w:hAnsi="Calibri"/>
          <w:i/>
          <w:sz w:val="20"/>
          <w:szCs w:val="20"/>
        </w:rPr>
        <w:t>Representation</w:t>
      </w:r>
      <w:proofErr w:type="spellEnd"/>
      <w:r>
        <w:rPr>
          <w:rFonts w:ascii="Calibri" w:hAnsi="Calibri"/>
          <w:i/>
          <w:sz w:val="20"/>
          <w:szCs w:val="20"/>
        </w:rPr>
        <w:t xml:space="preserve"> and </w:t>
      </w:r>
      <w:proofErr w:type="spellStart"/>
      <w:r>
        <w:rPr>
          <w:rFonts w:ascii="Calibri" w:hAnsi="Calibri"/>
          <w:i/>
          <w:sz w:val="20"/>
          <w:szCs w:val="20"/>
        </w:rPr>
        <w:t>Participation</w:t>
      </w:r>
      <w:proofErr w:type="spellEnd"/>
      <w:r>
        <w:rPr>
          <w:rFonts w:ascii="Calibri" w:hAnsi="Calibri"/>
          <w:i/>
          <w:sz w:val="20"/>
          <w:szCs w:val="20"/>
        </w:rPr>
        <w:t xml:space="preserve"> </w:t>
      </w:r>
      <w:proofErr w:type="spellStart"/>
      <w:r>
        <w:rPr>
          <w:rFonts w:ascii="Calibri" w:hAnsi="Calibri"/>
          <w:i/>
          <w:sz w:val="20"/>
          <w:szCs w:val="20"/>
        </w:rPr>
        <w:t>Survey</w:t>
      </w:r>
      <w:proofErr w:type="spellEnd"/>
      <w:r>
        <w:rPr>
          <w:rFonts w:ascii="Calibri" w:hAnsi="Calibri"/>
          <w:sz w:val="20"/>
          <w:szCs w:val="20"/>
        </w:rPr>
        <w:t xml:space="preserve"> (WRPS) de Estados Unidos -al que incorpora resultados de iniciativas similares en otros países anglosajones-, muestra el grado de complementariedad que pueden adquirir la representación sindical y la participación mediante comités unitarios, tanto para los trabajadores afiliados, como para los no sindicalizados. Este resultado adquiere más importancia sí se tiene en cuenta que dichos países se han basado exclusivamente en el sistema de canal único sindical. Ver </w:t>
      </w:r>
      <w:proofErr w:type="spellStart"/>
      <w:r>
        <w:rPr>
          <w:rFonts w:ascii="Calibri" w:hAnsi="Calibri"/>
          <w:sz w:val="20"/>
          <w:szCs w:val="20"/>
        </w:rPr>
        <w:t>Pyman</w:t>
      </w:r>
      <w:proofErr w:type="spellEnd"/>
      <w:r>
        <w:rPr>
          <w:rFonts w:ascii="Calibri" w:hAnsi="Calibri"/>
          <w:sz w:val="20"/>
          <w:szCs w:val="20"/>
        </w:rPr>
        <w:t xml:space="preserve"> et al. (2006) para el caso australiano y </w:t>
      </w:r>
      <w:proofErr w:type="spellStart"/>
      <w:r>
        <w:rPr>
          <w:rFonts w:ascii="Calibri" w:hAnsi="Calibri"/>
          <w:sz w:val="20"/>
          <w:szCs w:val="20"/>
        </w:rPr>
        <w:t>Charlwood</w:t>
      </w:r>
      <w:proofErr w:type="spellEnd"/>
      <w:r>
        <w:rPr>
          <w:rFonts w:ascii="Calibri" w:hAnsi="Calibri"/>
          <w:sz w:val="20"/>
          <w:szCs w:val="20"/>
        </w:rPr>
        <w:t xml:space="preserve"> y </w:t>
      </w:r>
      <w:proofErr w:type="spellStart"/>
      <w:r>
        <w:rPr>
          <w:rFonts w:ascii="Calibri" w:hAnsi="Calibri"/>
          <w:sz w:val="20"/>
          <w:szCs w:val="20"/>
        </w:rPr>
        <w:t>Forth</w:t>
      </w:r>
      <w:proofErr w:type="spellEnd"/>
      <w:r>
        <w:rPr>
          <w:rFonts w:ascii="Calibri" w:hAnsi="Calibri"/>
          <w:sz w:val="20"/>
          <w:szCs w:val="20"/>
        </w:rPr>
        <w:t xml:space="preserve"> (2011) para el caso inglés. </w:t>
      </w:r>
    </w:p>
  </w:footnote>
  <w:footnote w:id="20">
    <w:p w:rsidR="00D509BC" w:rsidRDefault="00D509BC" w:rsidP="00FE4D46">
      <w:pPr>
        <w:pStyle w:val="Textonotapie"/>
        <w:spacing w:after="120" w:line="240" w:lineRule="auto"/>
        <w:jc w:val="both"/>
      </w:pPr>
      <w:r>
        <w:rPr>
          <w:rStyle w:val="Refdenotaalpie"/>
        </w:rPr>
        <w:footnoteRef/>
      </w:r>
      <w:r>
        <w:t xml:space="preserve"> </w:t>
      </w:r>
      <w:proofErr w:type="spellStart"/>
      <w:r>
        <w:t>Godard</w:t>
      </w:r>
      <w:proofErr w:type="spellEnd"/>
      <w:r>
        <w:t xml:space="preserve"> (2011) muestra el efecto de la calidad del empleo y del tipo de relaciones que mantiene la empresa con el sindicato, sobre la propensión de los trabajadores al voto sindical en el caso canadiense. Dicho trabajo es ampliado en </w:t>
      </w:r>
      <w:proofErr w:type="spellStart"/>
      <w:r>
        <w:t>Godard</w:t>
      </w:r>
      <w:proofErr w:type="spellEnd"/>
      <w:r>
        <w:t xml:space="preserve"> y </w:t>
      </w:r>
      <w:proofErr w:type="spellStart"/>
      <w:r>
        <w:t>Frege</w:t>
      </w:r>
      <w:proofErr w:type="spellEnd"/>
      <w:r>
        <w:t xml:space="preserve"> (2010) incorporando el caso de Estados Unidos y teniendo en cuenta no sólo las percepciones de los trabajadores sindicalizados y no sindicalizados, sino también los diferentes tipos de organizaciones representativas y de prácticas empresariales.</w:t>
      </w:r>
    </w:p>
  </w:footnote>
  <w:footnote w:id="21">
    <w:p w:rsidR="00D509BC" w:rsidRDefault="00D509BC" w:rsidP="00FE4D46">
      <w:pPr>
        <w:pStyle w:val="Textonotapie"/>
        <w:spacing w:after="120" w:line="240" w:lineRule="auto"/>
        <w:jc w:val="both"/>
      </w:pPr>
      <w:r>
        <w:rPr>
          <w:rStyle w:val="Refdenotaalpie"/>
        </w:rPr>
        <w:footnoteRef/>
      </w:r>
      <w:r>
        <w:t xml:space="preserve"> Ver, entre otros, Fine (2005) sobre experiencias de organización local de trabajadores, sobre todo precarios, dispersos en pequeños centros de trabajo (también Evans y </w:t>
      </w:r>
      <w:proofErr w:type="spellStart"/>
      <w:r>
        <w:t>Gibb</w:t>
      </w:r>
      <w:proofErr w:type="spellEnd"/>
      <w:r>
        <w:t>, 2009).</w:t>
      </w:r>
    </w:p>
  </w:footnote>
  <w:footnote w:id="22">
    <w:p w:rsidR="00D509BC" w:rsidRDefault="00D509BC" w:rsidP="00FE4D46">
      <w:pPr>
        <w:pStyle w:val="Textonotapie"/>
        <w:spacing w:after="120" w:line="240" w:lineRule="auto"/>
        <w:jc w:val="both"/>
      </w:pPr>
      <w:r>
        <w:rPr>
          <w:rStyle w:val="Refdenotaalpie"/>
        </w:rPr>
        <w:footnoteRef/>
      </w:r>
      <w:r>
        <w:t xml:space="preserve"> Justamente, </w:t>
      </w:r>
      <w:proofErr w:type="spellStart"/>
      <w:r>
        <w:rPr>
          <w:lang w:val="es-ES_tradnl"/>
        </w:rPr>
        <w:t>Peetz</w:t>
      </w:r>
      <w:proofErr w:type="spellEnd"/>
      <w:r>
        <w:rPr>
          <w:lang w:val="es-ES_tradnl"/>
        </w:rPr>
        <w:t xml:space="preserve"> y </w:t>
      </w:r>
      <w:proofErr w:type="spellStart"/>
      <w:r>
        <w:rPr>
          <w:lang w:val="es-ES_tradnl"/>
        </w:rPr>
        <w:t>Pocock</w:t>
      </w:r>
      <w:proofErr w:type="spellEnd"/>
      <w:r>
        <w:rPr>
          <w:lang w:val="es-ES_tradnl"/>
        </w:rPr>
        <w:t xml:space="preserve"> (2009), refiriéndose al papel de los delegados, lo sitúan entre el apoyo que les puede prestar el sindicato, la actitud de los trabajadores y la oposición de las empresas. </w:t>
      </w:r>
    </w:p>
  </w:footnote>
  <w:footnote w:id="23">
    <w:p w:rsidR="00D509BC" w:rsidRDefault="00D509BC" w:rsidP="00D509BC">
      <w:pPr>
        <w:pStyle w:val="Textonotapie"/>
        <w:spacing w:after="0"/>
        <w:jc w:val="both"/>
        <w:rPr>
          <w:rFonts w:cs="Arial"/>
        </w:rPr>
      </w:pPr>
      <w:r w:rsidRPr="00BB24F7">
        <w:rPr>
          <w:rStyle w:val="Refdenotaalpie"/>
          <w:rFonts w:cs="Arial"/>
        </w:rPr>
        <w:footnoteRef/>
      </w:r>
      <w:r w:rsidRPr="00BB24F7">
        <w:rPr>
          <w:rFonts w:cs="Arial"/>
        </w:rPr>
        <w:t xml:space="preserve"> Directiva 2002/14/CE, de 11 de marzo de 2002, por la que se establece un marco general relativo a la información y consulta de los trabajadores en la Comunidad Europea.</w:t>
      </w:r>
    </w:p>
    <w:p w:rsidR="00D509BC" w:rsidRPr="00BB24F7" w:rsidRDefault="00D509BC" w:rsidP="00D509BC">
      <w:pPr>
        <w:pStyle w:val="Textonotapie"/>
        <w:spacing w:after="0"/>
        <w:jc w:val="both"/>
        <w:rPr>
          <w:rFonts w:cs="Arial"/>
        </w:rPr>
      </w:pPr>
      <w:hyperlink r:id="rId1" w:history="1">
        <w:r w:rsidRPr="00BB24F7">
          <w:rPr>
            <w:rStyle w:val="Hipervnculo"/>
            <w:rFonts w:cs="Arial"/>
          </w:rPr>
          <w:t>http://eur-lex.europa.eu/LexUriServ/LexUriServ.do?uri=OJ:L:2002:080:0029:0033:es:PDF</w:t>
        </w:r>
      </w:hyperlink>
    </w:p>
  </w:footnote>
  <w:footnote w:id="24">
    <w:p w:rsidR="00D509BC" w:rsidRPr="00703D30" w:rsidRDefault="00D509BC" w:rsidP="00D509BC">
      <w:pPr>
        <w:spacing w:after="0" w:line="240" w:lineRule="auto"/>
        <w:jc w:val="both"/>
        <w:rPr>
          <w:rFonts w:cs="Arial"/>
          <w:i/>
          <w:sz w:val="20"/>
          <w:szCs w:val="20"/>
          <w:lang w:val="en-US"/>
        </w:rPr>
      </w:pPr>
      <w:r w:rsidRPr="00BB24F7">
        <w:rPr>
          <w:rStyle w:val="Refdenotaalpie"/>
          <w:rFonts w:cs="Arial"/>
          <w:sz w:val="20"/>
          <w:szCs w:val="20"/>
        </w:rPr>
        <w:footnoteRef/>
      </w:r>
      <w:r w:rsidRPr="00BB24F7">
        <w:rPr>
          <w:rFonts w:cs="Arial"/>
          <w:sz w:val="20"/>
          <w:szCs w:val="20"/>
          <w:lang w:val="en-US"/>
        </w:rPr>
        <w:t xml:space="preserve"> EIRO (2011) </w:t>
      </w:r>
      <w:r w:rsidRPr="00BB24F7">
        <w:rPr>
          <w:rFonts w:cs="Arial"/>
          <w:i/>
          <w:sz w:val="20"/>
          <w:szCs w:val="20"/>
          <w:lang w:val="en-US"/>
        </w:rPr>
        <w:t xml:space="preserve">Information and consultation practice across Europe five year after the EU Directive. </w:t>
      </w:r>
      <w:hyperlink r:id="rId2" w:history="1">
        <w:r w:rsidRPr="00703D30">
          <w:rPr>
            <w:rStyle w:val="Hipervnculo"/>
            <w:rFonts w:cs="Arial"/>
            <w:i/>
            <w:sz w:val="20"/>
            <w:szCs w:val="20"/>
            <w:lang w:val="en-US"/>
          </w:rPr>
          <w:t>http://www.eurofound.europa.eu/eiro/studies/tn1009029s/index.htm</w:t>
        </w:r>
      </w:hyperlink>
    </w:p>
  </w:footnote>
  <w:footnote w:id="25">
    <w:p w:rsidR="00D509BC" w:rsidRPr="00BB24F7" w:rsidRDefault="00D509BC" w:rsidP="00D509BC">
      <w:pPr>
        <w:pStyle w:val="NormalWeb"/>
        <w:spacing w:after="0" w:afterAutospacing="0"/>
        <w:jc w:val="both"/>
        <w:rPr>
          <w:rFonts w:ascii="Calibri" w:hAnsi="Calibri" w:cs="Arial"/>
          <w:sz w:val="20"/>
          <w:szCs w:val="20"/>
          <w:lang w:val="en-GB"/>
        </w:rPr>
      </w:pPr>
      <w:r w:rsidRPr="00BB24F7">
        <w:rPr>
          <w:rStyle w:val="Refdenotaalpie"/>
          <w:rFonts w:ascii="Calibri" w:eastAsia="Calibri" w:hAnsi="Calibri"/>
          <w:sz w:val="20"/>
          <w:szCs w:val="20"/>
        </w:rPr>
        <w:footnoteRef/>
      </w:r>
      <w:r w:rsidRPr="00BB24F7">
        <w:rPr>
          <w:rFonts w:ascii="Calibri" w:hAnsi="Calibri"/>
          <w:sz w:val="20"/>
          <w:szCs w:val="20"/>
          <w:lang w:val="en-US"/>
        </w:rPr>
        <w:t xml:space="preserve"> </w:t>
      </w:r>
      <w:r w:rsidRPr="00BB24F7">
        <w:rPr>
          <w:rFonts w:ascii="Calibri" w:hAnsi="Calibri" w:cs="Arial"/>
          <w:sz w:val="20"/>
          <w:szCs w:val="20"/>
          <w:lang w:val="en-GB"/>
        </w:rPr>
        <w:t xml:space="preserve">L. Fulton (2013) Worker representation in Europe. </w:t>
      </w:r>
      <w:proofErr w:type="gramStart"/>
      <w:r w:rsidRPr="00BB24F7">
        <w:rPr>
          <w:rFonts w:ascii="Calibri" w:hAnsi="Calibri" w:cs="Arial"/>
          <w:sz w:val="20"/>
          <w:szCs w:val="20"/>
          <w:lang w:val="en-GB"/>
        </w:rPr>
        <w:t>Labour Research Department and ETUI.</w:t>
      </w:r>
      <w:proofErr w:type="gramEnd"/>
      <w:r w:rsidRPr="00BB24F7">
        <w:rPr>
          <w:rFonts w:ascii="Calibri" w:hAnsi="Calibri" w:cs="Arial"/>
          <w:sz w:val="20"/>
          <w:szCs w:val="20"/>
          <w:lang w:val="en-GB"/>
        </w:rPr>
        <w:t xml:space="preserve"> Produced with the assistance of the </w:t>
      </w:r>
      <w:hyperlink r:id="rId3" w:tgtFrame="_self" w:history="1">
        <w:r w:rsidRPr="00BB24F7">
          <w:rPr>
            <w:rStyle w:val="Hipervnculo"/>
            <w:rFonts w:ascii="Calibri" w:hAnsi="Calibri" w:cs="Arial"/>
            <w:sz w:val="20"/>
            <w:szCs w:val="20"/>
            <w:lang w:val="en-GB"/>
          </w:rPr>
          <w:t>SEEurope Network</w:t>
        </w:r>
      </w:hyperlink>
      <w:r w:rsidRPr="00BB24F7">
        <w:rPr>
          <w:rFonts w:ascii="Calibri" w:hAnsi="Calibri" w:cs="Arial"/>
          <w:sz w:val="20"/>
          <w:szCs w:val="20"/>
          <w:lang w:val="en-GB"/>
        </w:rPr>
        <w:t xml:space="preserve">, online publication available at </w:t>
      </w:r>
      <w:hyperlink r:id="rId4" w:history="1">
        <w:r w:rsidRPr="00BB24F7">
          <w:rPr>
            <w:rStyle w:val="Hipervnculo"/>
            <w:rFonts w:ascii="Calibri" w:hAnsi="Calibri" w:cs="Arial"/>
            <w:sz w:val="20"/>
            <w:szCs w:val="20"/>
            <w:lang w:val="en-GB"/>
          </w:rPr>
          <w:t>http://www.worker-participation.eu/National-Industrial-Relations</w:t>
        </w:r>
      </w:hyperlink>
    </w:p>
    <w:p w:rsidR="00D509BC" w:rsidRPr="00BB24F7" w:rsidRDefault="00D509BC" w:rsidP="00D509BC">
      <w:pPr>
        <w:pStyle w:val="NormalWeb"/>
        <w:spacing w:after="0" w:afterAutospacing="0"/>
        <w:jc w:val="both"/>
        <w:rPr>
          <w:rFonts w:ascii="Calibri" w:hAnsi="Calibri" w:cs="Arial"/>
          <w:sz w:val="20"/>
          <w:szCs w:val="20"/>
          <w:lang w:val="en-GB"/>
        </w:rPr>
      </w:pPr>
    </w:p>
    <w:p w:rsidR="00D509BC" w:rsidRDefault="00D509BC" w:rsidP="00D509BC">
      <w:pPr>
        <w:pStyle w:val="NormalWeb"/>
        <w:spacing w:after="0"/>
        <w:jc w:val="both"/>
        <w:rPr>
          <w:rFonts w:ascii="Verdana" w:hAnsi="Verdana" w:cs="Arial"/>
          <w:sz w:val="18"/>
          <w:szCs w:val="18"/>
          <w:lang w:val="en-GB"/>
        </w:rPr>
      </w:pPr>
    </w:p>
    <w:p w:rsidR="00D509BC" w:rsidRPr="00DD3FFE" w:rsidRDefault="00D509BC" w:rsidP="00D509BC">
      <w:pPr>
        <w:pStyle w:val="NormalWeb"/>
        <w:spacing w:after="0"/>
        <w:jc w:val="both"/>
        <w:rPr>
          <w:rFonts w:ascii="Verdana" w:hAnsi="Verdana" w:cs="Arial"/>
          <w:sz w:val="18"/>
          <w:szCs w:val="18"/>
          <w:lang w:val="en-GB"/>
        </w:rPr>
      </w:pPr>
    </w:p>
    <w:p w:rsidR="00D509BC" w:rsidRPr="00DD3FFE" w:rsidRDefault="00D509BC" w:rsidP="00D509BC">
      <w:pPr>
        <w:pStyle w:val="Textonotapie"/>
        <w:spacing w:after="0" w:line="240" w:lineRule="auto"/>
        <w:rPr>
          <w:sz w:val="18"/>
          <w:szCs w:val="18"/>
          <w:lang w:val="en-GB"/>
        </w:rPr>
      </w:pPr>
    </w:p>
  </w:footnote>
  <w:footnote w:id="26">
    <w:p w:rsidR="00D509BC" w:rsidRPr="004A2CCE" w:rsidRDefault="00D509BC" w:rsidP="00D509BC">
      <w:pPr>
        <w:pStyle w:val="Textonotapie"/>
        <w:spacing w:after="0" w:line="240" w:lineRule="auto"/>
        <w:rPr>
          <w:rFonts w:asciiTheme="minorHAnsi" w:hAnsiTheme="minorHAnsi"/>
        </w:rPr>
      </w:pPr>
      <w:r w:rsidRPr="004A2CCE">
        <w:rPr>
          <w:rStyle w:val="Refdenotaalpie"/>
          <w:rFonts w:asciiTheme="minorHAnsi" w:hAnsiTheme="minorHAnsi" w:cs="Arial"/>
        </w:rPr>
        <w:footnoteRef/>
      </w:r>
      <w:r w:rsidRPr="004A2CCE">
        <w:rPr>
          <w:rFonts w:asciiTheme="minorHAnsi" w:hAnsiTheme="minorHAnsi" w:cs="Arial"/>
        </w:rPr>
        <w:t xml:space="preserve"> </w:t>
      </w:r>
      <w:proofErr w:type="spellStart"/>
      <w:r w:rsidRPr="004A2CCE">
        <w:rPr>
          <w:rFonts w:asciiTheme="minorHAnsi" w:hAnsiTheme="minorHAnsi"/>
        </w:rPr>
        <w:t>Eurofound</w:t>
      </w:r>
      <w:proofErr w:type="spellEnd"/>
      <w:r w:rsidRPr="004A2CCE">
        <w:rPr>
          <w:rFonts w:asciiTheme="minorHAnsi" w:hAnsiTheme="minorHAnsi"/>
        </w:rPr>
        <w:t xml:space="preserve">: </w:t>
      </w:r>
      <w:r w:rsidRPr="004A2CCE">
        <w:rPr>
          <w:rFonts w:asciiTheme="minorHAnsi" w:hAnsiTheme="minorHAnsi"/>
          <w:i/>
        </w:rPr>
        <w:t>Tercera Encuesta Europea de Empresas: primeras conclusiones</w:t>
      </w:r>
    </w:p>
    <w:p w:rsidR="00D509BC" w:rsidRPr="004A2CCE" w:rsidRDefault="00D509BC" w:rsidP="00D509BC">
      <w:pPr>
        <w:pStyle w:val="Textonotapie"/>
        <w:spacing w:after="0" w:line="240" w:lineRule="auto"/>
        <w:rPr>
          <w:rFonts w:asciiTheme="minorHAnsi" w:hAnsiTheme="minorHAnsi"/>
        </w:rPr>
      </w:pPr>
      <w:hyperlink r:id="rId5" w:history="1">
        <w:r w:rsidRPr="004A2CCE">
          <w:rPr>
            <w:rStyle w:val="Hipervnculo"/>
            <w:rFonts w:asciiTheme="minorHAnsi" w:hAnsiTheme="minorHAnsi" w:cs="Arial"/>
          </w:rPr>
          <w:t>http://www.eurofound.europa.eu/surveys/ecs/2013/index.htm</w:t>
        </w:r>
      </w:hyperlink>
    </w:p>
    <w:p w:rsidR="00D509BC" w:rsidRDefault="00D509BC" w:rsidP="00D509BC">
      <w:pPr>
        <w:pStyle w:val="Textonotapie"/>
      </w:pPr>
    </w:p>
    <w:p w:rsidR="00D509BC" w:rsidRPr="00784A9D" w:rsidRDefault="00D509BC" w:rsidP="00D509BC">
      <w:pPr>
        <w:pStyle w:val="Textonotapie"/>
        <w:spacing w:after="0" w:line="240" w:lineRule="auto"/>
        <w:rPr>
          <w:rFonts w:ascii="Arial" w:hAnsi="Arial" w:cs="Arial"/>
        </w:rPr>
      </w:pPr>
    </w:p>
    <w:p w:rsidR="00D509BC" w:rsidRPr="004E07F3" w:rsidRDefault="00D509BC" w:rsidP="00D509BC">
      <w:pPr>
        <w:pStyle w:val="Textonotapie"/>
      </w:pPr>
    </w:p>
  </w:footnote>
  <w:footnote w:id="27">
    <w:p w:rsidR="008E0628" w:rsidRDefault="008E0628" w:rsidP="008E0628">
      <w:pPr>
        <w:pStyle w:val="Textonotapie"/>
        <w:spacing w:after="120" w:line="240" w:lineRule="auto"/>
        <w:jc w:val="both"/>
      </w:pPr>
      <w:r>
        <w:rPr>
          <w:rStyle w:val="Carctersdenotaalpeu"/>
        </w:rPr>
        <w:footnoteRef/>
      </w:r>
      <w:r>
        <w:t xml:space="preserve"> Ley 9/1987, de 12 de junio, de Órganos de Representación, Determinación de las condiciones de trabajo y Participación del personal al servicio de las Administraciones Públicas.</w:t>
      </w:r>
    </w:p>
  </w:footnote>
  <w:footnote w:id="28">
    <w:p w:rsidR="008E0628" w:rsidRDefault="008E0628" w:rsidP="008E0628">
      <w:pPr>
        <w:pStyle w:val="Textonotapie"/>
        <w:spacing w:after="120" w:line="240" w:lineRule="auto"/>
        <w:jc w:val="both"/>
      </w:pPr>
      <w:r>
        <w:rPr>
          <w:rStyle w:val="Refdenotaalpie"/>
        </w:rPr>
        <w:footnoteRef/>
      </w:r>
      <w:r>
        <w:t xml:space="preserve"> Desgraciadamente, la ECVT ha sido también víctima de las políticas de austeridad y ha dejado de realizarse, siendo la de 2010 la última versión.</w:t>
      </w:r>
    </w:p>
  </w:footnote>
  <w:footnote w:id="29">
    <w:p w:rsidR="008E0628" w:rsidRDefault="008E0628" w:rsidP="008E0628">
      <w:pPr>
        <w:pStyle w:val="Textonotapie"/>
      </w:pPr>
      <w:r>
        <w:rPr>
          <w:rStyle w:val="Refdenotaalpie"/>
        </w:rPr>
        <w:footnoteRef/>
      </w:r>
      <w:r>
        <w:t xml:space="preserve"> Datos provisionales a junio de 2014.</w:t>
      </w:r>
    </w:p>
  </w:footnote>
  <w:footnote w:id="30">
    <w:p w:rsidR="006010D0" w:rsidRDefault="006010D0" w:rsidP="006010D0">
      <w:pPr>
        <w:pStyle w:val="Textonotapie"/>
        <w:spacing w:after="120" w:line="240" w:lineRule="auto"/>
        <w:jc w:val="both"/>
      </w:pPr>
      <w:r>
        <w:rPr>
          <w:rStyle w:val="Refdenotaalpie"/>
        </w:rPr>
        <w:footnoteRef/>
      </w:r>
      <w:r>
        <w:t xml:space="preserve"> En la valoración de estos datos es importante tener en cuenta la existencia de un porcentaje importante de encuestados que responde no saber sobre la pregunta realizada; en este caso es del 19,2% en 2003, 16,6% en 2007 y 15,3% en 2010. Sería lógico pensar que existe una mayor incidencia de la respuesta ‘no sabe/no contesta’ entre asalariados que trabajan en empresas sin representación. De hecho, tal y como se sugiere a lo largo del documento, las variaciones en el porcentaje de trabajadores que responde no saber está claramente asociada con la distribución entre sí y no. De este modo, una disminución en la categoría ‘no sabe/no contesta’ se refleja normalmente en un aumento en el porcentaje de respuestas ‘no’. Así pues, la interpretación de la variación a lo largo del tiempo debe hacerse teniendo en cuenta estos factores.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360"/>
        </w:tabs>
        <w:ind w:left="360" w:hanging="360"/>
      </w:pPr>
      <w:rPr>
        <w:rFonts w:ascii="Symbol" w:hAnsi="Symbol"/>
      </w:rPr>
    </w:lvl>
  </w:abstractNum>
  <w:abstractNum w:abstractNumId="2">
    <w:nsid w:val="00000009"/>
    <w:multiLevelType w:val="singleLevel"/>
    <w:tmpl w:val="00000009"/>
    <w:name w:val="WW8Num9"/>
    <w:lvl w:ilvl="0">
      <w:start w:val="1"/>
      <w:numFmt w:val="bullet"/>
      <w:lvlText w:val="-"/>
      <w:lvlJc w:val="left"/>
      <w:pPr>
        <w:tabs>
          <w:tab w:val="num" w:pos="1065"/>
        </w:tabs>
        <w:ind w:left="1065" w:hanging="360"/>
      </w:pPr>
      <w:rPr>
        <w:rFonts w:ascii="Arial" w:hAnsi="Arial"/>
      </w:rPr>
    </w:lvl>
  </w:abstractNum>
  <w:abstractNum w:abstractNumId="3">
    <w:nsid w:val="004E5FF6"/>
    <w:multiLevelType w:val="multilevel"/>
    <w:tmpl w:val="FFB8F35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2D65298"/>
    <w:multiLevelType w:val="hybridMultilevel"/>
    <w:tmpl w:val="15DAA1D6"/>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167D5C04"/>
    <w:multiLevelType w:val="hybridMultilevel"/>
    <w:tmpl w:val="ADC01F02"/>
    <w:lvl w:ilvl="0" w:tplc="00000009">
      <w:start w:val="1"/>
      <w:numFmt w:val="bullet"/>
      <w:lvlText w:val="-"/>
      <w:lvlJc w:val="left"/>
      <w:pPr>
        <w:ind w:left="360" w:hanging="360"/>
      </w:pPr>
      <w:rPr>
        <w:rFonts w:ascii="Arial" w:hAnsi="Arial"/>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1A9C00F7"/>
    <w:multiLevelType w:val="multilevel"/>
    <w:tmpl w:val="E646C732"/>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7">
    <w:nsid w:val="212E1A5D"/>
    <w:multiLevelType w:val="hybridMultilevel"/>
    <w:tmpl w:val="1158AEE6"/>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3BDC2764"/>
    <w:multiLevelType w:val="hybridMultilevel"/>
    <w:tmpl w:val="60341326"/>
    <w:lvl w:ilvl="0" w:tplc="81AC33D2">
      <w:start w:val="1"/>
      <w:numFmt w:val="bullet"/>
      <w:lvlText w:val="-"/>
      <w:lvlJc w:val="left"/>
      <w:pPr>
        <w:ind w:left="360" w:hanging="360"/>
      </w:pPr>
      <w:rPr>
        <w:rFonts w:ascii="Arial" w:eastAsia="Times New Roman" w:hAnsi="Arial" w:cs="Times New Roman" w:hint="default"/>
        <w:i/>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3DB211C7"/>
    <w:multiLevelType w:val="hybridMultilevel"/>
    <w:tmpl w:val="880001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3E6B42B5"/>
    <w:multiLevelType w:val="hybridMultilevel"/>
    <w:tmpl w:val="2C9A9954"/>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415652EF"/>
    <w:multiLevelType w:val="hybridMultilevel"/>
    <w:tmpl w:val="E132E5C0"/>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674C0C2D"/>
    <w:multiLevelType w:val="multilevel"/>
    <w:tmpl w:val="AE1E20FE"/>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nsid w:val="67D810C5"/>
    <w:multiLevelType w:val="hybridMultilevel"/>
    <w:tmpl w:val="3EC431DA"/>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68B07B9E"/>
    <w:multiLevelType w:val="hybridMultilevel"/>
    <w:tmpl w:val="C38EAD88"/>
    <w:lvl w:ilvl="0" w:tplc="90241C0E">
      <w:start w:val="2"/>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FA432B7"/>
    <w:multiLevelType w:val="hybridMultilevel"/>
    <w:tmpl w:val="1F8206E6"/>
    <w:lvl w:ilvl="0" w:tplc="00000009">
      <w:start w:val="1"/>
      <w:numFmt w:val="bullet"/>
      <w:lvlText w:val="-"/>
      <w:lvlJc w:val="left"/>
      <w:pPr>
        <w:ind w:left="360" w:hanging="360"/>
      </w:pPr>
      <w:rPr>
        <w:rFonts w:ascii="Arial" w:hAnsi="Arial"/>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75EF154D"/>
    <w:multiLevelType w:val="hybridMultilevel"/>
    <w:tmpl w:val="9EACA538"/>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79D956D4"/>
    <w:multiLevelType w:val="hybridMultilevel"/>
    <w:tmpl w:val="BCD6043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7EB12031"/>
    <w:multiLevelType w:val="multilevel"/>
    <w:tmpl w:val="3B9070D2"/>
    <w:lvl w:ilvl="0">
      <w:start w:val="4"/>
      <w:numFmt w:val="decimal"/>
      <w:lvlText w:val="%1."/>
      <w:lvlJc w:val="left"/>
      <w:pPr>
        <w:ind w:left="36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9">
    <w:nsid w:val="7EEC7816"/>
    <w:multiLevelType w:val="hybridMultilevel"/>
    <w:tmpl w:val="74F8D5C6"/>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2"/>
  </w:num>
  <w:num w:numId="31">
    <w:abstractNumId w:val="14"/>
  </w:num>
  <w:num w:numId="32">
    <w:abstractNumId w:val="1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70"/>
    <w:rsid w:val="000E1970"/>
    <w:rsid w:val="00305FF7"/>
    <w:rsid w:val="006010D0"/>
    <w:rsid w:val="00691818"/>
    <w:rsid w:val="00735293"/>
    <w:rsid w:val="008E0628"/>
    <w:rsid w:val="00BF4F46"/>
    <w:rsid w:val="00C3138A"/>
    <w:rsid w:val="00D509BC"/>
    <w:rsid w:val="00E24467"/>
    <w:rsid w:val="00FE4D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qFormat/>
    <w:rsid w:val="00D509BC"/>
    <w:pPr>
      <w:spacing w:before="100" w:beforeAutospacing="1" w:after="100" w:afterAutospacing="1" w:line="240" w:lineRule="auto"/>
      <w:outlineLvl w:val="1"/>
    </w:pPr>
    <w:rPr>
      <w:rFonts w:ascii="Times New Roman" w:eastAsia="Times New Roman" w:hAnsi="Times New Roman" w:cs="Times New Roman"/>
      <w:b/>
      <w:bCs/>
      <w:sz w:val="36"/>
      <w:szCs w:val="36"/>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509BC"/>
    <w:rPr>
      <w:rFonts w:ascii="Times New Roman" w:eastAsia="Times New Roman" w:hAnsi="Times New Roman" w:cs="Times New Roman"/>
      <w:b/>
      <w:bCs/>
      <w:sz w:val="36"/>
      <w:szCs w:val="36"/>
      <w:lang w:val="ca-ES" w:eastAsia="ca-ES"/>
    </w:rPr>
  </w:style>
  <w:style w:type="paragraph" w:styleId="Prrafodelista">
    <w:name w:val="List Paragraph"/>
    <w:basedOn w:val="Normal"/>
    <w:uiPriority w:val="99"/>
    <w:qFormat/>
    <w:rsid w:val="00FE4D46"/>
    <w:pPr>
      <w:ind w:left="708"/>
    </w:pPr>
    <w:rPr>
      <w:rFonts w:ascii="Calibri" w:eastAsia="Calibri" w:hAnsi="Calibri" w:cs="Times New Roman"/>
    </w:rPr>
  </w:style>
  <w:style w:type="paragraph" w:styleId="Textonotapie">
    <w:name w:val="footnote text"/>
    <w:basedOn w:val="Normal"/>
    <w:link w:val="TextonotapieCar"/>
    <w:rsid w:val="00FE4D46"/>
    <w:rPr>
      <w:rFonts w:ascii="Calibri" w:eastAsia="Calibri" w:hAnsi="Calibri" w:cs="Times New Roman"/>
      <w:sz w:val="20"/>
      <w:szCs w:val="20"/>
    </w:rPr>
  </w:style>
  <w:style w:type="character" w:customStyle="1" w:styleId="TextonotapieCar">
    <w:name w:val="Texto nota pie Car"/>
    <w:basedOn w:val="Fuentedeprrafopredeter"/>
    <w:link w:val="Textonotapie"/>
    <w:rsid w:val="00FE4D46"/>
    <w:rPr>
      <w:rFonts w:ascii="Calibri" w:eastAsia="Calibri" w:hAnsi="Calibri" w:cs="Times New Roman"/>
      <w:sz w:val="20"/>
      <w:szCs w:val="20"/>
    </w:rPr>
  </w:style>
  <w:style w:type="character" w:styleId="Refdenotaalpie">
    <w:name w:val="footnote reference"/>
    <w:basedOn w:val="Fuentedeprrafopredeter"/>
    <w:semiHidden/>
    <w:rsid w:val="00FE4D46"/>
    <w:rPr>
      <w:rFonts w:cs="Times New Roman"/>
      <w:vertAlign w:val="superscript"/>
    </w:rPr>
  </w:style>
  <w:style w:type="paragraph" w:customStyle="1" w:styleId="Default">
    <w:name w:val="Default"/>
    <w:uiPriority w:val="99"/>
    <w:rsid w:val="00FE4D46"/>
    <w:pPr>
      <w:autoSpaceDE w:val="0"/>
      <w:autoSpaceDN w:val="0"/>
      <w:adjustRightInd w:val="0"/>
      <w:spacing w:after="0" w:line="240" w:lineRule="auto"/>
    </w:pPr>
    <w:rPr>
      <w:rFonts w:ascii="Verdana" w:eastAsia="Calibri" w:hAnsi="Verdana" w:cs="Verdana"/>
      <w:color w:val="000000"/>
      <w:sz w:val="24"/>
      <w:szCs w:val="24"/>
    </w:rPr>
  </w:style>
  <w:style w:type="character" w:styleId="Hipervnculo">
    <w:name w:val="Hyperlink"/>
    <w:basedOn w:val="Fuentedeprrafopredeter"/>
    <w:uiPriority w:val="99"/>
    <w:rsid w:val="00D509BC"/>
    <w:rPr>
      <w:rFonts w:cs="Times New Roman"/>
      <w:color w:val="008080"/>
      <w:u w:val="single"/>
    </w:rPr>
  </w:style>
  <w:style w:type="paragraph" w:styleId="Textodeglobo">
    <w:name w:val="Balloon Text"/>
    <w:basedOn w:val="Normal"/>
    <w:link w:val="TextodegloboCar"/>
    <w:uiPriority w:val="99"/>
    <w:unhideWhenUsed/>
    <w:rsid w:val="00D509BC"/>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D509BC"/>
    <w:rPr>
      <w:rFonts w:ascii="Tahoma" w:eastAsia="Calibri" w:hAnsi="Tahoma" w:cs="Tahoma"/>
      <w:sz w:val="16"/>
      <w:szCs w:val="16"/>
    </w:rPr>
  </w:style>
  <w:style w:type="character" w:customStyle="1" w:styleId="HeaderChar">
    <w:name w:val="Header Char"/>
    <w:uiPriority w:val="99"/>
    <w:locked/>
    <w:rsid w:val="00D509BC"/>
    <w:rPr>
      <w:lang w:val="ca-ES"/>
    </w:rPr>
  </w:style>
  <w:style w:type="paragraph" w:styleId="Encabezado">
    <w:name w:val="header"/>
    <w:basedOn w:val="Normal"/>
    <w:link w:val="EncabezadoCar"/>
    <w:uiPriority w:val="99"/>
    <w:rsid w:val="00D509BC"/>
    <w:pPr>
      <w:tabs>
        <w:tab w:val="center" w:pos="4252"/>
        <w:tab w:val="right" w:pos="8504"/>
      </w:tabs>
      <w:spacing w:after="0" w:line="240" w:lineRule="auto"/>
    </w:pPr>
    <w:rPr>
      <w:rFonts w:ascii="Calibri" w:eastAsia="Calibri" w:hAnsi="Calibri" w:cs="Times New Roman"/>
      <w:sz w:val="20"/>
      <w:szCs w:val="20"/>
      <w:lang w:val="ca-ES" w:eastAsia="ca-ES"/>
    </w:rPr>
  </w:style>
  <w:style w:type="character" w:customStyle="1" w:styleId="EncabezadoCar">
    <w:name w:val="Encabezado Car"/>
    <w:basedOn w:val="Fuentedeprrafopredeter"/>
    <w:link w:val="Encabezado"/>
    <w:uiPriority w:val="99"/>
    <w:rsid w:val="00D509BC"/>
    <w:rPr>
      <w:rFonts w:ascii="Calibri" w:eastAsia="Calibri" w:hAnsi="Calibri" w:cs="Times New Roman"/>
      <w:sz w:val="20"/>
      <w:szCs w:val="20"/>
      <w:lang w:val="ca-ES" w:eastAsia="ca-ES"/>
    </w:rPr>
  </w:style>
  <w:style w:type="paragraph" w:styleId="Piedepgina">
    <w:name w:val="footer"/>
    <w:basedOn w:val="Normal"/>
    <w:link w:val="PiedepginaCar"/>
    <w:uiPriority w:val="99"/>
    <w:rsid w:val="00D509BC"/>
    <w:pPr>
      <w:tabs>
        <w:tab w:val="center" w:pos="4252"/>
        <w:tab w:val="right" w:pos="8504"/>
      </w:tabs>
      <w:spacing w:after="0" w:line="240" w:lineRule="auto"/>
    </w:pPr>
    <w:rPr>
      <w:rFonts w:ascii="Calibri" w:eastAsia="Calibri" w:hAnsi="Calibri" w:cs="Times New Roman"/>
      <w:lang w:val="ca-ES"/>
    </w:rPr>
  </w:style>
  <w:style w:type="character" w:customStyle="1" w:styleId="PiedepginaCar">
    <w:name w:val="Pie de página Car"/>
    <w:basedOn w:val="Fuentedeprrafopredeter"/>
    <w:link w:val="Piedepgina"/>
    <w:uiPriority w:val="99"/>
    <w:rsid w:val="00D509BC"/>
    <w:rPr>
      <w:rFonts w:ascii="Calibri" w:eastAsia="Calibri" w:hAnsi="Calibri" w:cs="Times New Roman"/>
      <w:lang w:val="ca-ES"/>
    </w:rPr>
  </w:style>
  <w:style w:type="character" w:styleId="Nmerodepgina">
    <w:name w:val="page number"/>
    <w:basedOn w:val="Fuentedeprrafopredeter"/>
    <w:uiPriority w:val="99"/>
    <w:rsid w:val="00D509BC"/>
    <w:rPr>
      <w:rFonts w:cs="Times New Roman"/>
    </w:rPr>
  </w:style>
  <w:style w:type="paragraph" w:styleId="Textocomentario">
    <w:name w:val="annotation text"/>
    <w:basedOn w:val="Normal"/>
    <w:link w:val="TextocomentarioCar"/>
    <w:uiPriority w:val="99"/>
    <w:rsid w:val="00D509BC"/>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D509BC"/>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D509BC"/>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rsid w:val="00D509BC"/>
    <w:rPr>
      <w:b/>
      <w:bCs/>
    </w:rPr>
  </w:style>
  <w:style w:type="table" w:styleId="Tablaconcuadrcula">
    <w:name w:val="Table Grid"/>
    <w:basedOn w:val="Tablanormal"/>
    <w:uiPriority w:val="99"/>
    <w:rsid w:val="00D509B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uiPriority w:val="99"/>
    <w:rsid w:val="00D509BC"/>
    <w:rPr>
      <w:rFonts w:cs="Times New Roman"/>
    </w:rPr>
  </w:style>
  <w:style w:type="character" w:styleId="nfasis">
    <w:name w:val="Emphasis"/>
    <w:basedOn w:val="Fuentedeprrafopredeter"/>
    <w:uiPriority w:val="99"/>
    <w:qFormat/>
    <w:rsid w:val="00D509BC"/>
    <w:rPr>
      <w:rFonts w:cs="Times New Roman"/>
      <w:i/>
      <w:iCs/>
    </w:rPr>
  </w:style>
  <w:style w:type="character" w:customStyle="1" w:styleId="Refdecomentario1">
    <w:name w:val="Ref. de comentario1"/>
    <w:basedOn w:val="Fuentedeprrafopredeter"/>
    <w:uiPriority w:val="99"/>
    <w:rsid w:val="00D509BC"/>
    <w:rPr>
      <w:rFonts w:cs="Times New Roman"/>
      <w:sz w:val="16"/>
      <w:szCs w:val="16"/>
    </w:rPr>
  </w:style>
  <w:style w:type="character" w:customStyle="1" w:styleId="Carctersdenotaalpeu">
    <w:name w:val="Caràcters de nota al peu"/>
    <w:basedOn w:val="Fuentedeprrafopredeter"/>
    <w:uiPriority w:val="99"/>
    <w:rsid w:val="00D509BC"/>
    <w:rPr>
      <w:rFonts w:cs="Times New Roman"/>
      <w:vertAlign w:val="superscript"/>
    </w:rPr>
  </w:style>
  <w:style w:type="character" w:customStyle="1" w:styleId="apple-converted-space">
    <w:name w:val="apple-converted-space"/>
    <w:basedOn w:val="Fuentedeprrafopredeter"/>
    <w:uiPriority w:val="99"/>
    <w:rsid w:val="00D509BC"/>
    <w:rPr>
      <w:rFonts w:cs="Times New Roman"/>
    </w:rPr>
  </w:style>
  <w:style w:type="character" w:customStyle="1" w:styleId="authors">
    <w:name w:val="authors"/>
    <w:basedOn w:val="Fuentedeprrafopredeter"/>
    <w:uiPriority w:val="99"/>
    <w:rsid w:val="00D509BC"/>
    <w:rPr>
      <w:rFonts w:cs="Times New Roman"/>
    </w:rPr>
  </w:style>
  <w:style w:type="character" w:customStyle="1" w:styleId="longtext">
    <w:name w:val="long_text"/>
    <w:basedOn w:val="Fuentedeprrafopredeter"/>
    <w:uiPriority w:val="99"/>
    <w:rsid w:val="00D509BC"/>
    <w:rPr>
      <w:rFonts w:cs="Times New Roman"/>
    </w:rPr>
  </w:style>
  <w:style w:type="character" w:customStyle="1" w:styleId="hps">
    <w:name w:val="hps"/>
    <w:basedOn w:val="Fuentedeprrafopredeter"/>
    <w:uiPriority w:val="99"/>
    <w:rsid w:val="00D509BC"/>
    <w:rPr>
      <w:rFonts w:cs="Times New Roman"/>
    </w:rPr>
  </w:style>
  <w:style w:type="character" w:customStyle="1" w:styleId="atn">
    <w:name w:val="atn"/>
    <w:basedOn w:val="Fuentedeprrafopredeter"/>
    <w:uiPriority w:val="99"/>
    <w:rsid w:val="00D509BC"/>
    <w:rPr>
      <w:rFonts w:cs="Times New Roman"/>
    </w:rPr>
  </w:style>
  <w:style w:type="paragraph" w:styleId="NormalWeb">
    <w:name w:val="Normal (Web)"/>
    <w:basedOn w:val="Normal"/>
    <w:uiPriority w:val="99"/>
    <w:rsid w:val="00D509B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ssuetocvolume">
    <w:name w:val="issuetocvolume"/>
    <w:basedOn w:val="Fuentedeprrafopredeter"/>
    <w:uiPriority w:val="99"/>
    <w:rsid w:val="00D509BC"/>
    <w:rPr>
      <w:rFonts w:cs="Times New Roman"/>
    </w:rPr>
  </w:style>
  <w:style w:type="character" w:customStyle="1" w:styleId="issuetocissue">
    <w:name w:val="issuetocissue"/>
    <w:basedOn w:val="Fuentedeprrafopredeter"/>
    <w:uiPriority w:val="99"/>
    <w:rsid w:val="00D509BC"/>
    <w:rPr>
      <w:rFonts w:cs="Times New Roman"/>
    </w:rPr>
  </w:style>
  <w:style w:type="character" w:customStyle="1" w:styleId="searchword">
    <w:name w:val="searchword"/>
    <w:basedOn w:val="Fuentedeprrafopredeter"/>
    <w:uiPriority w:val="99"/>
    <w:rsid w:val="00D509BC"/>
    <w:rPr>
      <w:rFonts w:cs="Times New Roman"/>
    </w:rPr>
  </w:style>
  <w:style w:type="character" w:customStyle="1" w:styleId="pagination">
    <w:name w:val="pagination"/>
    <w:basedOn w:val="Fuentedeprrafopredeter"/>
    <w:uiPriority w:val="99"/>
    <w:rsid w:val="00D509BC"/>
    <w:rPr>
      <w:rFonts w:cs="Times New Roman"/>
    </w:rPr>
  </w:style>
  <w:style w:type="character" w:customStyle="1" w:styleId="doi">
    <w:name w:val="doi"/>
    <w:basedOn w:val="Fuentedeprrafopredeter"/>
    <w:uiPriority w:val="99"/>
    <w:rsid w:val="00D509BC"/>
    <w:rPr>
      <w:rFonts w:cs="Times New Roman"/>
    </w:rPr>
  </w:style>
  <w:style w:type="paragraph" w:styleId="Textoindependiente">
    <w:name w:val="Body Text"/>
    <w:basedOn w:val="Normal"/>
    <w:link w:val="TextoindependienteCar"/>
    <w:uiPriority w:val="99"/>
    <w:rsid w:val="00D509BC"/>
    <w:pPr>
      <w:spacing w:after="120" w:line="240" w:lineRule="auto"/>
    </w:pPr>
    <w:rPr>
      <w:rFonts w:ascii="Times New Roman" w:eastAsia="Times New Roman" w:hAnsi="Times New Roman" w:cs="Times New Roman"/>
      <w:sz w:val="24"/>
      <w:szCs w:val="24"/>
      <w:lang w:val="ca-ES" w:eastAsia="ca-ES"/>
    </w:rPr>
  </w:style>
  <w:style w:type="character" w:customStyle="1" w:styleId="TextoindependienteCar">
    <w:name w:val="Texto independiente Car"/>
    <w:basedOn w:val="Fuentedeprrafopredeter"/>
    <w:link w:val="Textoindependiente"/>
    <w:uiPriority w:val="99"/>
    <w:rsid w:val="00D509BC"/>
    <w:rPr>
      <w:rFonts w:ascii="Times New Roman" w:eastAsia="Times New Roman" w:hAnsi="Times New Roman" w:cs="Times New Roman"/>
      <w:sz w:val="24"/>
      <w:szCs w:val="24"/>
      <w:lang w:val="ca-ES" w:eastAsia="ca-ES"/>
    </w:rPr>
  </w:style>
  <w:style w:type="character" w:customStyle="1" w:styleId="highlight">
    <w:name w:val="highlight"/>
    <w:basedOn w:val="Fuentedeprrafopredeter"/>
    <w:uiPriority w:val="99"/>
    <w:rsid w:val="00D509BC"/>
    <w:rPr>
      <w:rFonts w:cs="Times New Roman"/>
    </w:rPr>
  </w:style>
  <w:style w:type="paragraph" w:styleId="Sinespaciado">
    <w:name w:val="No Spacing"/>
    <w:uiPriority w:val="99"/>
    <w:qFormat/>
    <w:rsid w:val="00D509BC"/>
    <w:pPr>
      <w:spacing w:after="0" w:line="240" w:lineRule="auto"/>
    </w:pPr>
    <w:rPr>
      <w:rFonts w:ascii="Calibri" w:eastAsia="Calibri" w:hAnsi="Calibri" w:cs="Times New Roman"/>
    </w:rPr>
  </w:style>
  <w:style w:type="character" w:customStyle="1" w:styleId="titulo">
    <w:name w:val="titulo"/>
    <w:basedOn w:val="Fuentedeprrafopredeter"/>
    <w:rsid w:val="00D509BC"/>
  </w:style>
  <w:style w:type="character" w:styleId="Refdecomentario">
    <w:name w:val="annotation reference"/>
    <w:basedOn w:val="Fuentedeprrafopredeter"/>
    <w:uiPriority w:val="99"/>
    <w:semiHidden/>
    <w:unhideWhenUsed/>
    <w:rsid w:val="00D509BC"/>
    <w:rPr>
      <w:sz w:val="16"/>
      <w:szCs w:val="16"/>
    </w:rPr>
  </w:style>
  <w:style w:type="paragraph" w:styleId="Revisin">
    <w:name w:val="Revision"/>
    <w:hidden/>
    <w:uiPriority w:val="99"/>
    <w:semiHidden/>
    <w:rsid w:val="008E062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qFormat/>
    <w:rsid w:val="00D509BC"/>
    <w:pPr>
      <w:spacing w:before="100" w:beforeAutospacing="1" w:after="100" w:afterAutospacing="1" w:line="240" w:lineRule="auto"/>
      <w:outlineLvl w:val="1"/>
    </w:pPr>
    <w:rPr>
      <w:rFonts w:ascii="Times New Roman" w:eastAsia="Times New Roman" w:hAnsi="Times New Roman" w:cs="Times New Roman"/>
      <w:b/>
      <w:bCs/>
      <w:sz w:val="36"/>
      <w:szCs w:val="36"/>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509BC"/>
    <w:rPr>
      <w:rFonts w:ascii="Times New Roman" w:eastAsia="Times New Roman" w:hAnsi="Times New Roman" w:cs="Times New Roman"/>
      <w:b/>
      <w:bCs/>
      <w:sz w:val="36"/>
      <w:szCs w:val="36"/>
      <w:lang w:val="ca-ES" w:eastAsia="ca-ES"/>
    </w:rPr>
  </w:style>
  <w:style w:type="paragraph" w:styleId="Prrafodelista">
    <w:name w:val="List Paragraph"/>
    <w:basedOn w:val="Normal"/>
    <w:uiPriority w:val="99"/>
    <w:qFormat/>
    <w:rsid w:val="00FE4D46"/>
    <w:pPr>
      <w:ind w:left="708"/>
    </w:pPr>
    <w:rPr>
      <w:rFonts w:ascii="Calibri" w:eastAsia="Calibri" w:hAnsi="Calibri" w:cs="Times New Roman"/>
    </w:rPr>
  </w:style>
  <w:style w:type="paragraph" w:styleId="Textonotapie">
    <w:name w:val="footnote text"/>
    <w:basedOn w:val="Normal"/>
    <w:link w:val="TextonotapieCar"/>
    <w:rsid w:val="00FE4D46"/>
    <w:rPr>
      <w:rFonts w:ascii="Calibri" w:eastAsia="Calibri" w:hAnsi="Calibri" w:cs="Times New Roman"/>
      <w:sz w:val="20"/>
      <w:szCs w:val="20"/>
    </w:rPr>
  </w:style>
  <w:style w:type="character" w:customStyle="1" w:styleId="TextonotapieCar">
    <w:name w:val="Texto nota pie Car"/>
    <w:basedOn w:val="Fuentedeprrafopredeter"/>
    <w:link w:val="Textonotapie"/>
    <w:rsid w:val="00FE4D46"/>
    <w:rPr>
      <w:rFonts w:ascii="Calibri" w:eastAsia="Calibri" w:hAnsi="Calibri" w:cs="Times New Roman"/>
      <w:sz w:val="20"/>
      <w:szCs w:val="20"/>
    </w:rPr>
  </w:style>
  <w:style w:type="character" w:styleId="Refdenotaalpie">
    <w:name w:val="footnote reference"/>
    <w:basedOn w:val="Fuentedeprrafopredeter"/>
    <w:semiHidden/>
    <w:rsid w:val="00FE4D46"/>
    <w:rPr>
      <w:rFonts w:cs="Times New Roman"/>
      <w:vertAlign w:val="superscript"/>
    </w:rPr>
  </w:style>
  <w:style w:type="paragraph" w:customStyle="1" w:styleId="Default">
    <w:name w:val="Default"/>
    <w:uiPriority w:val="99"/>
    <w:rsid w:val="00FE4D46"/>
    <w:pPr>
      <w:autoSpaceDE w:val="0"/>
      <w:autoSpaceDN w:val="0"/>
      <w:adjustRightInd w:val="0"/>
      <w:spacing w:after="0" w:line="240" w:lineRule="auto"/>
    </w:pPr>
    <w:rPr>
      <w:rFonts w:ascii="Verdana" w:eastAsia="Calibri" w:hAnsi="Verdana" w:cs="Verdana"/>
      <w:color w:val="000000"/>
      <w:sz w:val="24"/>
      <w:szCs w:val="24"/>
    </w:rPr>
  </w:style>
  <w:style w:type="character" w:styleId="Hipervnculo">
    <w:name w:val="Hyperlink"/>
    <w:basedOn w:val="Fuentedeprrafopredeter"/>
    <w:uiPriority w:val="99"/>
    <w:rsid w:val="00D509BC"/>
    <w:rPr>
      <w:rFonts w:cs="Times New Roman"/>
      <w:color w:val="008080"/>
      <w:u w:val="single"/>
    </w:rPr>
  </w:style>
  <w:style w:type="paragraph" w:styleId="Textodeglobo">
    <w:name w:val="Balloon Text"/>
    <w:basedOn w:val="Normal"/>
    <w:link w:val="TextodegloboCar"/>
    <w:uiPriority w:val="99"/>
    <w:unhideWhenUsed/>
    <w:rsid w:val="00D509BC"/>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D509BC"/>
    <w:rPr>
      <w:rFonts w:ascii="Tahoma" w:eastAsia="Calibri" w:hAnsi="Tahoma" w:cs="Tahoma"/>
      <w:sz w:val="16"/>
      <w:szCs w:val="16"/>
    </w:rPr>
  </w:style>
  <w:style w:type="character" w:customStyle="1" w:styleId="HeaderChar">
    <w:name w:val="Header Char"/>
    <w:uiPriority w:val="99"/>
    <w:locked/>
    <w:rsid w:val="00D509BC"/>
    <w:rPr>
      <w:lang w:val="ca-ES"/>
    </w:rPr>
  </w:style>
  <w:style w:type="paragraph" w:styleId="Encabezado">
    <w:name w:val="header"/>
    <w:basedOn w:val="Normal"/>
    <w:link w:val="EncabezadoCar"/>
    <w:uiPriority w:val="99"/>
    <w:rsid w:val="00D509BC"/>
    <w:pPr>
      <w:tabs>
        <w:tab w:val="center" w:pos="4252"/>
        <w:tab w:val="right" w:pos="8504"/>
      </w:tabs>
      <w:spacing w:after="0" w:line="240" w:lineRule="auto"/>
    </w:pPr>
    <w:rPr>
      <w:rFonts w:ascii="Calibri" w:eastAsia="Calibri" w:hAnsi="Calibri" w:cs="Times New Roman"/>
      <w:sz w:val="20"/>
      <w:szCs w:val="20"/>
      <w:lang w:val="ca-ES" w:eastAsia="ca-ES"/>
    </w:rPr>
  </w:style>
  <w:style w:type="character" w:customStyle="1" w:styleId="EncabezadoCar">
    <w:name w:val="Encabezado Car"/>
    <w:basedOn w:val="Fuentedeprrafopredeter"/>
    <w:link w:val="Encabezado"/>
    <w:uiPriority w:val="99"/>
    <w:rsid w:val="00D509BC"/>
    <w:rPr>
      <w:rFonts w:ascii="Calibri" w:eastAsia="Calibri" w:hAnsi="Calibri" w:cs="Times New Roman"/>
      <w:sz w:val="20"/>
      <w:szCs w:val="20"/>
      <w:lang w:val="ca-ES" w:eastAsia="ca-ES"/>
    </w:rPr>
  </w:style>
  <w:style w:type="paragraph" w:styleId="Piedepgina">
    <w:name w:val="footer"/>
    <w:basedOn w:val="Normal"/>
    <w:link w:val="PiedepginaCar"/>
    <w:uiPriority w:val="99"/>
    <w:rsid w:val="00D509BC"/>
    <w:pPr>
      <w:tabs>
        <w:tab w:val="center" w:pos="4252"/>
        <w:tab w:val="right" w:pos="8504"/>
      </w:tabs>
      <w:spacing w:after="0" w:line="240" w:lineRule="auto"/>
    </w:pPr>
    <w:rPr>
      <w:rFonts w:ascii="Calibri" w:eastAsia="Calibri" w:hAnsi="Calibri" w:cs="Times New Roman"/>
      <w:lang w:val="ca-ES"/>
    </w:rPr>
  </w:style>
  <w:style w:type="character" w:customStyle="1" w:styleId="PiedepginaCar">
    <w:name w:val="Pie de página Car"/>
    <w:basedOn w:val="Fuentedeprrafopredeter"/>
    <w:link w:val="Piedepgina"/>
    <w:uiPriority w:val="99"/>
    <w:rsid w:val="00D509BC"/>
    <w:rPr>
      <w:rFonts w:ascii="Calibri" w:eastAsia="Calibri" w:hAnsi="Calibri" w:cs="Times New Roman"/>
      <w:lang w:val="ca-ES"/>
    </w:rPr>
  </w:style>
  <w:style w:type="character" w:styleId="Nmerodepgina">
    <w:name w:val="page number"/>
    <w:basedOn w:val="Fuentedeprrafopredeter"/>
    <w:uiPriority w:val="99"/>
    <w:rsid w:val="00D509BC"/>
    <w:rPr>
      <w:rFonts w:cs="Times New Roman"/>
    </w:rPr>
  </w:style>
  <w:style w:type="paragraph" w:styleId="Textocomentario">
    <w:name w:val="annotation text"/>
    <w:basedOn w:val="Normal"/>
    <w:link w:val="TextocomentarioCar"/>
    <w:uiPriority w:val="99"/>
    <w:rsid w:val="00D509BC"/>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D509BC"/>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D509BC"/>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rsid w:val="00D509BC"/>
    <w:rPr>
      <w:b/>
      <w:bCs/>
    </w:rPr>
  </w:style>
  <w:style w:type="table" w:styleId="Tablaconcuadrcula">
    <w:name w:val="Table Grid"/>
    <w:basedOn w:val="Tablanormal"/>
    <w:uiPriority w:val="99"/>
    <w:rsid w:val="00D509B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uiPriority w:val="99"/>
    <w:rsid w:val="00D509BC"/>
    <w:rPr>
      <w:rFonts w:cs="Times New Roman"/>
    </w:rPr>
  </w:style>
  <w:style w:type="character" w:styleId="nfasis">
    <w:name w:val="Emphasis"/>
    <w:basedOn w:val="Fuentedeprrafopredeter"/>
    <w:uiPriority w:val="99"/>
    <w:qFormat/>
    <w:rsid w:val="00D509BC"/>
    <w:rPr>
      <w:rFonts w:cs="Times New Roman"/>
      <w:i/>
      <w:iCs/>
    </w:rPr>
  </w:style>
  <w:style w:type="character" w:customStyle="1" w:styleId="Refdecomentario1">
    <w:name w:val="Ref. de comentario1"/>
    <w:basedOn w:val="Fuentedeprrafopredeter"/>
    <w:uiPriority w:val="99"/>
    <w:rsid w:val="00D509BC"/>
    <w:rPr>
      <w:rFonts w:cs="Times New Roman"/>
      <w:sz w:val="16"/>
      <w:szCs w:val="16"/>
    </w:rPr>
  </w:style>
  <w:style w:type="character" w:customStyle="1" w:styleId="Carctersdenotaalpeu">
    <w:name w:val="Caràcters de nota al peu"/>
    <w:basedOn w:val="Fuentedeprrafopredeter"/>
    <w:uiPriority w:val="99"/>
    <w:rsid w:val="00D509BC"/>
    <w:rPr>
      <w:rFonts w:cs="Times New Roman"/>
      <w:vertAlign w:val="superscript"/>
    </w:rPr>
  </w:style>
  <w:style w:type="character" w:customStyle="1" w:styleId="apple-converted-space">
    <w:name w:val="apple-converted-space"/>
    <w:basedOn w:val="Fuentedeprrafopredeter"/>
    <w:uiPriority w:val="99"/>
    <w:rsid w:val="00D509BC"/>
    <w:rPr>
      <w:rFonts w:cs="Times New Roman"/>
    </w:rPr>
  </w:style>
  <w:style w:type="character" w:customStyle="1" w:styleId="authors">
    <w:name w:val="authors"/>
    <w:basedOn w:val="Fuentedeprrafopredeter"/>
    <w:uiPriority w:val="99"/>
    <w:rsid w:val="00D509BC"/>
    <w:rPr>
      <w:rFonts w:cs="Times New Roman"/>
    </w:rPr>
  </w:style>
  <w:style w:type="character" w:customStyle="1" w:styleId="longtext">
    <w:name w:val="long_text"/>
    <w:basedOn w:val="Fuentedeprrafopredeter"/>
    <w:uiPriority w:val="99"/>
    <w:rsid w:val="00D509BC"/>
    <w:rPr>
      <w:rFonts w:cs="Times New Roman"/>
    </w:rPr>
  </w:style>
  <w:style w:type="character" w:customStyle="1" w:styleId="hps">
    <w:name w:val="hps"/>
    <w:basedOn w:val="Fuentedeprrafopredeter"/>
    <w:uiPriority w:val="99"/>
    <w:rsid w:val="00D509BC"/>
    <w:rPr>
      <w:rFonts w:cs="Times New Roman"/>
    </w:rPr>
  </w:style>
  <w:style w:type="character" w:customStyle="1" w:styleId="atn">
    <w:name w:val="atn"/>
    <w:basedOn w:val="Fuentedeprrafopredeter"/>
    <w:uiPriority w:val="99"/>
    <w:rsid w:val="00D509BC"/>
    <w:rPr>
      <w:rFonts w:cs="Times New Roman"/>
    </w:rPr>
  </w:style>
  <w:style w:type="paragraph" w:styleId="NormalWeb">
    <w:name w:val="Normal (Web)"/>
    <w:basedOn w:val="Normal"/>
    <w:uiPriority w:val="99"/>
    <w:rsid w:val="00D509B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ssuetocvolume">
    <w:name w:val="issuetocvolume"/>
    <w:basedOn w:val="Fuentedeprrafopredeter"/>
    <w:uiPriority w:val="99"/>
    <w:rsid w:val="00D509BC"/>
    <w:rPr>
      <w:rFonts w:cs="Times New Roman"/>
    </w:rPr>
  </w:style>
  <w:style w:type="character" w:customStyle="1" w:styleId="issuetocissue">
    <w:name w:val="issuetocissue"/>
    <w:basedOn w:val="Fuentedeprrafopredeter"/>
    <w:uiPriority w:val="99"/>
    <w:rsid w:val="00D509BC"/>
    <w:rPr>
      <w:rFonts w:cs="Times New Roman"/>
    </w:rPr>
  </w:style>
  <w:style w:type="character" w:customStyle="1" w:styleId="searchword">
    <w:name w:val="searchword"/>
    <w:basedOn w:val="Fuentedeprrafopredeter"/>
    <w:uiPriority w:val="99"/>
    <w:rsid w:val="00D509BC"/>
    <w:rPr>
      <w:rFonts w:cs="Times New Roman"/>
    </w:rPr>
  </w:style>
  <w:style w:type="character" w:customStyle="1" w:styleId="pagination">
    <w:name w:val="pagination"/>
    <w:basedOn w:val="Fuentedeprrafopredeter"/>
    <w:uiPriority w:val="99"/>
    <w:rsid w:val="00D509BC"/>
    <w:rPr>
      <w:rFonts w:cs="Times New Roman"/>
    </w:rPr>
  </w:style>
  <w:style w:type="character" w:customStyle="1" w:styleId="doi">
    <w:name w:val="doi"/>
    <w:basedOn w:val="Fuentedeprrafopredeter"/>
    <w:uiPriority w:val="99"/>
    <w:rsid w:val="00D509BC"/>
    <w:rPr>
      <w:rFonts w:cs="Times New Roman"/>
    </w:rPr>
  </w:style>
  <w:style w:type="paragraph" w:styleId="Textoindependiente">
    <w:name w:val="Body Text"/>
    <w:basedOn w:val="Normal"/>
    <w:link w:val="TextoindependienteCar"/>
    <w:uiPriority w:val="99"/>
    <w:rsid w:val="00D509BC"/>
    <w:pPr>
      <w:spacing w:after="120" w:line="240" w:lineRule="auto"/>
    </w:pPr>
    <w:rPr>
      <w:rFonts w:ascii="Times New Roman" w:eastAsia="Times New Roman" w:hAnsi="Times New Roman" w:cs="Times New Roman"/>
      <w:sz w:val="24"/>
      <w:szCs w:val="24"/>
      <w:lang w:val="ca-ES" w:eastAsia="ca-ES"/>
    </w:rPr>
  </w:style>
  <w:style w:type="character" w:customStyle="1" w:styleId="TextoindependienteCar">
    <w:name w:val="Texto independiente Car"/>
    <w:basedOn w:val="Fuentedeprrafopredeter"/>
    <w:link w:val="Textoindependiente"/>
    <w:uiPriority w:val="99"/>
    <w:rsid w:val="00D509BC"/>
    <w:rPr>
      <w:rFonts w:ascii="Times New Roman" w:eastAsia="Times New Roman" w:hAnsi="Times New Roman" w:cs="Times New Roman"/>
      <w:sz w:val="24"/>
      <w:szCs w:val="24"/>
      <w:lang w:val="ca-ES" w:eastAsia="ca-ES"/>
    </w:rPr>
  </w:style>
  <w:style w:type="character" w:customStyle="1" w:styleId="highlight">
    <w:name w:val="highlight"/>
    <w:basedOn w:val="Fuentedeprrafopredeter"/>
    <w:uiPriority w:val="99"/>
    <w:rsid w:val="00D509BC"/>
    <w:rPr>
      <w:rFonts w:cs="Times New Roman"/>
    </w:rPr>
  </w:style>
  <w:style w:type="paragraph" w:styleId="Sinespaciado">
    <w:name w:val="No Spacing"/>
    <w:uiPriority w:val="99"/>
    <w:qFormat/>
    <w:rsid w:val="00D509BC"/>
    <w:pPr>
      <w:spacing w:after="0" w:line="240" w:lineRule="auto"/>
    </w:pPr>
    <w:rPr>
      <w:rFonts w:ascii="Calibri" w:eastAsia="Calibri" w:hAnsi="Calibri" w:cs="Times New Roman"/>
    </w:rPr>
  </w:style>
  <w:style w:type="character" w:customStyle="1" w:styleId="titulo">
    <w:name w:val="titulo"/>
    <w:basedOn w:val="Fuentedeprrafopredeter"/>
    <w:rsid w:val="00D509BC"/>
  </w:style>
  <w:style w:type="character" w:styleId="Refdecomentario">
    <w:name w:val="annotation reference"/>
    <w:basedOn w:val="Fuentedeprrafopredeter"/>
    <w:uiPriority w:val="99"/>
    <w:semiHidden/>
    <w:unhideWhenUsed/>
    <w:rsid w:val="00D509BC"/>
    <w:rPr>
      <w:sz w:val="16"/>
      <w:szCs w:val="16"/>
    </w:rPr>
  </w:style>
  <w:style w:type="paragraph" w:styleId="Revisin">
    <w:name w:val="Revision"/>
    <w:hidden/>
    <w:uiPriority w:val="99"/>
    <w:semiHidden/>
    <w:rsid w:val="008E06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yperlink" Target="http://www.infolibre.es/noticias/opinion/2013/12/23/los_sindicatos_las_encuestas_11448_1023.htm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onlinelibrary.wiley.com/doi/10.1111/irj.12026/abstrac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onlinelibrary.wiley.com/doi/10.1111/irj.12025/abstr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orker-participation.eu/European-Company-SE/SEEurope-network/Network-members" TargetMode="External"/><Relationship Id="rId2" Type="http://schemas.openxmlformats.org/officeDocument/2006/relationships/hyperlink" Target="http://www.eurofound.europa.eu/eiro/studies/tn1009029s/index.htm" TargetMode="External"/><Relationship Id="rId1" Type="http://schemas.openxmlformats.org/officeDocument/2006/relationships/hyperlink" Target="http://eur-lex.europa.eu/LexUriServ/LexUriServ.do?uri=OJ:L:2002:080:0029:0033:es:PDF" TargetMode="External"/><Relationship Id="rId5" Type="http://schemas.openxmlformats.org/officeDocument/2006/relationships/hyperlink" Target="http://www.eurofound.europa.eu/surveys/ecs/2013/index.htm" TargetMode="External"/><Relationship Id="rId4" Type="http://schemas.openxmlformats.org/officeDocument/2006/relationships/hyperlink" Target="http://www.worker-participation.eu/National-Industrial-Relation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59</Pages>
  <Words>19927</Words>
  <Characters>109599</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 Beneyto</dc:creator>
  <cp:lastModifiedBy>Pere Beneyto</cp:lastModifiedBy>
  <cp:revision>8</cp:revision>
  <dcterms:created xsi:type="dcterms:W3CDTF">2014-11-28T12:10:00Z</dcterms:created>
  <dcterms:modified xsi:type="dcterms:W3CDTF">2014-11-28T12:52:00Z</dcterms:modified>
</cp:coreProperties>
</file>